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14:paraId="311CC6D5" w14:textId="77777777" w:rsidTr="007D2BDA">
        <w:trPr>
          <w:gridAfter w:val="1"/>
          <w:wAfter w:w="36" w:type="dxa"/>
        </w:trPr>
        <w:tc>
          <w:tcPr>
            <w:tcW w:w="8928" w:type="dxa"/>
            <w:gridSpan w:val="2"/>
            <w:tcBorders>
              <w:bottom w:val="single" w:sz="18" w:space="0" w:color="auto"/>
            </w:tcBorders>
          </w:tcPr>
          <w:p w14:paraId="678F0841" w14:textId="77777777" w:rsidR="007D2BDA" w:rsidRDefault="00374F22"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2D98ED5B" wp14:editId="5ED6811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753C9B3F" w14:textId="77777777" w:rsidR="007D2BDA" w:rsidRDefault="007D2BDA" w:rsidP="00244120">
            <w:pPr>
              <w:pStyle w:val="Infotext"/>
              <w:rPr>
                <w:rFonts w:ascii="Arial Black" w:hAnsi="Arial Black" w:cs="Arial"/>
                <w:sz w:val="36"/>
                <w:szCs w:val="36"/>
              </w:rPr>
            </w:pPr>
          </w:p>
        </w:tc>
      </w:tr>
      <w:tr w:rsidR="002A2389" w14:paraId="53410B3F" w14:textId="77777777" w:rsidTr="007D2BDA">
        <w:tc>
          <w:tcPr>
            <w:tcW w:w="3456" w:type="dxa"/>
            <w:tcBorders>
              <w:bottom w:val="single" w:sz="18" w:space="0" w:color="auto"/>
            </w:tcBorders>
          </w:tcPr>
          <w:p w14:paraId="3804B877"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282573F7" w14:textId="77777777" w:rsidR="002A2389" w:rsidRPr="00F92398" w:rsidRDefault="002A2389">
            <w:pPr>
              <w:pStyle w:val="Infotext"/>
              <w:rPr>
                <w:rFonts w:ascii="Arial Black" w:hAnsi="Arial Black" w:cs="Arial"/>
              </w:rPr>
            </w:pPr>
          </w:p>
        </w:tc>
        <w:tc>
          <w:tcPr>
            <w:tcW w:w="5508" w:type="dxa"/>
            <w:gridSpan w:val="2"/>
            <w:tcBorders>
              <w:bottom w:val="single" w:sz="18" w:space="0" w:color="auto"/>
            </w:tcBorders>
          </w:tcPr>
          <w:p w14:paraId="3FDE9030" w14:textId="77777777" w:rsidR="002A2389" w:rsidRDefault="0012522B" w:rsidP="00D32B51">
            <w:pPr>
              <w:pStyle w:val="Infotext"/>
              <w:rPr>
                <w:rFonts w:ascii="Arial Black" w:hAnsi="Arial Black" w:cs="Arial"/>
                <w:sz w:val="36"/>
                <w:szCs w:val="36"/>
              </w:rPr>
            </w:pPr>
            <w:r w:rsidRPr="0012522B">
              <w:rPr>
                <w:rFonts w:ascii="Arial Black" w:hAnsi="Arial Black" w:cs="Arial"/>
                <w:sz w:val="36"/>
                <w:szCs w:val="36"/>
              </w:rPr>
              <w:t>GOVERNANCE, AUDIT, RISK MANAGEMENT and STANDARDS COMMITTEE</w:t>
            </w:r>
            <w:r>
              <w:rPr>
                <w:rFonts w:ascii="Arial Black" w:hAnsi="Arial Black" w:cs="Arial"/>
                <w:sz w:val="36"/>
                <w:szCs w:val="36"/>
              </w:rPr>
              <w:t xml:space="preserve"> </w:t>
            </w:r>
          </w:p>
          <w:p w14:paraId="584E69E3" w14:textId="324CF176" w:rsidR="002C1794" w:rsidRPr="002C1794" w:rsidRDefault="002C1794" w:rsidP="00D32B51">
            <w:pPr>
              <w:pStyle w:val="Infotext"/>
              <w:rPr>
                <w:rFonts w:ascii="Arial Black" w:hAnsi="Arial Black" w:cs="Arial"/>
                <w:color w:val="0000FF"/>
                <w:sz w:val="36"/>
                <w:szCs w:val="36"/>
              </w:rPr>
            </w:pPr>
          </w:p>
        </w:tc>
      </w:tr>
      <w:tr w:rsidR="002A2389" w14:paraId="60159BF4" w14:textId="77777777" w:rsidTr="007D2BDA">
        <w:tc>
          <w:tcPr>
            <w:tcW w:w="3456" w:type="dxa"/>
            <w:tcBorders>
              <w:top w:val="single" w:sz="18" w:space="0" w:color="auto"/>
            </w:tcBorders>
          </w:tcPr>
          <w:p w14:paraId="01594B4E"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59AA9386" w14:textId="77777777" w:rsidR="002A2389" w:rsidRPr="00F92398" w:rsidRDefault="002A2389">
            <w:pPr>
              <w:pStyle w:val="Infotext"/>
              <w:rPr>
                <w:rFonts w:ascii="Arial Black" w:hAnsi="Arial Black" w:cs="Arial"/>
              </w:rPr>
            </w:pPr>
          </w:p>
        </w:tc>
        <w:tc>
          <w:tcPr>
            <w:tcW w:w="5508" w:type="dxa"/>
            <w:gridSpan w:val="2"/>
            <w:tcBorders>
              <w:top w:val="single" w:sz="18" w:space="0" w:color="auto"/>
            </w:tcBorders>
          </w:tcPr>
          <w:p w14:paraId="7FEA719D" w14:textId="184CD7DC" w:rsidR="002A2389" w:rsidRDefault="0012522B" w:rsidP="00271B4B">
            <w:pPr>
              <w:pStyle w:val="Infotext"/>
              <w:rPr>
                <w:rFonts w:cs="Arial"/>
              </w:rPr>
            </w:pPr>
            <w:r>
              <w:rPr>
                <w:rFonts w:cs="Arial"/>
              </w:rPr>
              <w:t>8 September 2020</w:t>
            </w:r>
          </w:p>
        </w:tc>
      </w:tr>
      <w:tr w:rsidR="002A2389" w14:paraId="500626E9" w14:textId="77777777" w:rsidTr="007D2BDA">
        <w:tc>
          <w:tcPr>
            <w:tcW w:w="3456" w:type="dxa"/>
          </w:tcPr>
          <w:p w14:paraId="380CCCA9" w14:textId="77777777" w:rsidR="002A2389" w:rsidRPr="00F92398" w:rsidRDefault="002A2389">
            <w:pPr>
              <w:pStyle w:val="Infotext"/>
              <w:rPr>
                <w:rFonts w:ascii="Arial Black" w:hAnsi="Arial Black" w:cs="Arial"/>
              </w:rPr>
            </w:pPr>
            <w:r w:rsidRPr="00F92398">
              <w:rPr>
                <w:rFonts w:ascii="Arial Black" w:hAnsi="Arial Black" w:cs="Arial"/>
              </w:rPr>
              <w:t>Subject:</w:t>
            </w:r>
          </w:p>
          <w:p w14:paraId="5E14543F" w14:textId="77777777" w:rsidR="002A2389" w:rsidRPr="00F92398" w:rsidRDefault="002A2389">
            <w:pPr>
              <w:pStyle w:val="Infotext"/>
              <w:rPr>
                <w:rFonts w:ascii="Arial Black" w:hAnsi="Arial Black"/>
              </w:rPr>
            </w:pPr>
          </w:p>
        </w:tc>
        <w:tc>
          <w:tcPr>
            <w:tcW w:w="5508" w:type="dxa"/>
            <w:gridSpan w:val="2"/>
          </w:tcPr>
          <w:p w14:paraId="4CF0E175" w14:textId="77777777" w:rsidR="002A2389" w:rsidRDefault="0012522B">
            <w:pPr>
              <w:pStyle w:val="Infotext"/>
              <w:rPr>
                <w:rFonts w:cs="Arial"/>
              </w:rPr>
            </w:pPr>
            <w:r>
              <w:rPr>
                <w:rFonts w:cs="Arial"/>
              </w:rPr>
              <w:t>Annual Governance Statement 2019/20</w:t>
            </w:r>
          </w:p>
        </w:tc>
      </w:tr>
      <w:tr w:rsidR="002A2389" w14:paraId="2833FF07" w14:textId="77777777" w:rsidTr="007D2BDA">
        <w:tc>
          <w:tcPr>
            <w:tcW w:w="3456" w:type="dxa"/>
          </w:tcPr>
          <w:p w14:paraId="170F9795" w14:textId="77777777" w:rsidR="002A2389" w:rsidRPr="00F92398" w:rsidRDefault="002A2389">
            <w:pPr>
              <w:pStyle w:val="Infotext"/>
              <w:rPr>
                <w:rFonts w:ascii="Arial Black" w:hAnsi="Arial Black" w:cs="Arial"/>
              </w:rPr>
            </w:pPr>
            <w:r w:rsidRPr="00F92398">
              <w:rPr>
                <w:rFonts w:ascii="Arial Black" w:hAnsi="Arial Black" w:cs="Arial"/>
              </w:rPr>
              <w:t>Responsible Officer:</w:t>
            </w:r>
          </w:p>
          <w:p w14:paraId="4C36E7ED" w14:textId="77777777" w:rsidR="002A2389" w:rsidRPr="00F92398" w:rsidRDefault="002A2389">
            <w:pPr>
              <w:pStyle w:val="Infotext"/>
              <w:rPr>
                <w:rFonts w:ascii="Arial Black" w:hAnsi="Arial Black" w:cs="Arial"/>
              </w:rPr>
            </w:pPr>
          </w:p>
        </w:tc>
        <w:tc>
          <w:tcPr>
            <w:tcW w:w="5508" w:type="dxa"/>
            <w:gridSpan w:val="2"/>
          </w:tcPr>
          <w:p w14:paraId="716C3CCC" w14:textId="6FB11CB5" w:rsidR="0012522B" w:rsidRPr="0012522B" w:rsidRDefault="0012522B" w:rsidP="0012522B">
            <w:pPr>
              <w:rPr>
                <w:rFonts w:cs="Arial"/>
                <w:sz w:val="28"/>
              </w:rPr>
            </w:pPr>
            <w:r w:rsidRPr="0012522B">
              <w:rPr>
                <w:rFonts w:cs="Arial"/>
                <w:sz w:val="28"/>
              </w:rPr>
              <w:t>Dawn Calvert, Director of Finance</w:t>
            </w:r>
            <w:r w:rsidR="00917334">
              <w:rPr>
                <w:rFonts w:cs="Arial"/>
                <w:sz w:val="28"/>
              </w:rPr>
              <w:t xml:space="preserve"> and Assurance</w:t>
            </w:r>
            <w:bookmarkStart w:id="0" w:name="_GoBack"/>
            <w:bookmarkEnd w:id="0"/>
          </w:p>
          <w:p w14:paraId="606545CF" w14:textId="77777777" w:rsidR="007D56C8" w:rsidRDefault="007D56C8" w:rsidP="0012522B">
            <w:pPr>
              <w:pStyle w:val="Infotext"/>
              <w:rPr>
                <w:rFonts w:cs="Arial"/>
              </w:rPr>
            </w:pPr>
          </w:p>
        </w:tc>
      </w:tr>
      <w:tr w:rsidR="002A2389" w14:paraId="68AF3570" w14:textId="77777777" w:rsidTr="007D2BDA">
        <w:tc>
          <w:tcPr>
            <w:tcW w:w="3456" w:type="dxa"/>
          </w:tcPr>
          <w:p w14:paraId="6DCB6770" w14:textId="77777777" w:rsidR="002A2389" w:rsidRPr="00F92398" w:rsidRDefault="002A2389">
            <w:pPr>
              <w:pStyle w:val="Infotext"/>
              <w:rPr>
                <w:rFonts w:ascii="Arial Black" w:hAnsi="Arial Black" w:cs="Arial"/>
              </w:rPr>
            </w:pPr>
            <w:r w:rsidRPr="00F92398">
              <w:rPr>
                <w:rFonts w:ascii="Arial Black" w:hAnsi="Arial Black" w:cs="Arial"/>
              </w:rPr>
              <w:t>Exempt:</w:t>
            </w:r>
          </w:p>
          <w:p w14:paraId="2F4C20DC" w14:textId="77777777" w:rsidR="002A2389" w:rsidRPr="00F92398" w:rsidRDefault="002A2389">
            <w:pPr>
              <w:pStyle w:val="Infotext"/>
              <w:rPr>
                <w:rFonts w:ascii="Arial Black" w:hAnsi="Arial Black" w:cs="Arial"/>
              </w:rPr>
            </w:pPr>
          </w:p>
        </w:tc>
        <w:tc>
          <w:tcPr>
            <w:tcW w:w="5508" w:type="dxa"/>
            <w:gridSpan w:val="2"/>
          </w:tcPr>
          <w:p w14:paraId="1695646D" w14:textId="77777777" w:rsidR="002A2389" w:rsidRDefault="002A2389">
            <w:pPr>
              <w:pStyle w:val="Infotext"/>
              <w:rPr>
                <w:rFonts w:cs="Arial"/>
              </w:rPr>
            </w:pPr>
            <w:r>
              <w:rPr>
                <w:rFonts w:cs="Arial"/>
              </w:rPr>
              <w:t xml:space="preserve"> No</w:t>
            </w:r>
          </w:p>
          <w:p w14:paraId="7C3A6E87" w14:textId="77777777" w:rsidR="00213BE7" w:rsidRDefault="00213BE7" w:rsidP="0012522B">
            <w:pPr>
              <w:pStyle w:val="Infotext"/>
              <w:rPr>
                <w:rFonts w:cs="Arial"/>
              </w:rPr>
            </w:pPr>
          </w:p>
        </w:tc>
      </w:tr>
      <w:tr w:rsidR="00B900E2" w14:paraId="3A074913" w14:textId="77777777" w:rsidTr="007D2BDA">
        <w:tc>
          <w:tcPr>
            <w:tcW w:w="3456" w:type="dxa"/>
          </w:tcPr>
          <w:p w14:paraId="24A20865" w14:textId="77777777" w:rsidR="00B900E2" w:rsidRDefault="000B0E6F">
            <w:pPr>
              <w:pStyle w:val="Infotext"/>
              <w:rPr>
                <w:rFonts w:ascii="Arial Black" w:hAnsi="Arial Black" w:cs="Arial"/>
              </w:rPr>
            </w:pPr>
            <w:r>
              <w:rPr>
                <w:rFonts w:ascii="Arial Black" w:hAnsi="Arial Black" w:cs="Arial"/>
              </w:rPr>
              <w:t>Wards affected:</w:t>
            </w:r>
          </w:p>
          <w:p w14:paraId="7728C415" w14:textId="77777777" w:rsidR="000B0E6F" w:rsidRPr="00F92398" w:rsidRDefault="000B0E6F">
            <w:pPr>
              <w:pStyle w:val="Infotext"/>
              <w:rPr>
                <w:rFonts w:ascii="Arial Black" w:hAnsi="Arial Black" w:cs="Arial"/>
              </w:rPr>
            </w:pPr>
          </w:p>
        </w:tc>
        <w:tc>
          <w:tcPr>
            <w:tcW w:w="5508" w:type="dxa"/>
            <w:gridSpan w:val="2"/>
          </w:tcPr>
          <w:p w14:paraId="71F75F13" w14:textId="77777777" w:rsidR="00B900E2" w:rsidRDefault="0012522B" w:rsidP="0012522B">
            <w:pPr>
              <w:pStyle w:val="Infotext"/>
            </w:pPr>
            <w:r>
              <w:rPr>
                <w:rFonts w:cs="Arial"/>
                <w:szCs w:val="24"/>
              </w:rPr>
              <w:t>All</w:t>
            </w:r>
          </w:p>
        </w:tc>
      </w:tr>
      <w:tr w:rsidR="002A2389" w14:paraId="593792A1" w14:textId="77777777" w:rsidTr="007D2BDA">
        <w:tc>
          <w:tcPr>
            <w:tcW w:w="3456" w:type="dxa"/>
          </w:tcPr>
          <w:p w14:paraId="448B2A67" w14:textId="77777777" w:rsidR="002A2389" w:rsidRPr="00F92398" w:rsidRDefault="002A2389">
            <w:pPr>
              <w:pStyle w:val="Infotext"/>
              <w:rPr>
                <w:rFonts w:ascii="Arial Black" w:hAnsi="Arial Black" w:cs="Arial"/>
              </w:rPr>
            </w:pPr>
            <w:r w:rsidRPr="00F92398">
              <w:rPr>
                <w:rFonts w:ascii="Arial Black" w:hAnsi="Arial Black" w:cs="Arial"/>
              </w:rPr>
              <w:t>Enclosures:</w:t>
            </w:r>
          </w:p>
          <w:p w14:paraId="29E69CB8" w14:textId="77777777" w:rsidR="002A2389" w:rsidRPr="00F92398" w:rsidRDefault="002A2389">
            <w:pPr>
              <w:pStyle w:val="Infotext"/>
              <w:rPr>
                <w:rFonts w:ascii="Arial Black" w:hAnsi="Arial Black" w:cs="Arial"/>
              </w:rPr>
            </w:pPr>
          </w:p>
        </w:tc>
        <w:tc>
          <w:tcPr>
            <w:tcW w:w="5508" w:type="dxa"/>
            <w:gridSpan w:val="2"/>
          </w:tcPr>
          <w:p w14:paraId="0F16F685" w14:textId="77777777" w:rsidR="0012522B" w:rsidRPr="0012522B" w:rsidRDefault="0012522B" w:rsidP="0012522B">
            <w:pPr>
              <w:rPr>
                <w:sz w:val="28"/>
              </w:rPr>
            </w:pPr>
            <w:r w:rsidRPr="0012522B">
              <w:rPr>
                <w:sz w:val="28"/>
              </w:rPr>
              <w:t xml:space="preserve">Appendix 1 – </w:t>
            </w:r>
            <w:r>
              <w:rPr>
                <w:sz w:val="28"/>
              </w:rPr>
              <w:t>2</w:t>
            </w:r>
            <w:r w:rsidRPr="0012522B">
              <w:rPr>
                <w:sz w:val="28"/>
                <w:vertAlign w:val="superscript"/>
              </w:rPr>
              <w:t>nd</w:t>
            </w:r>
            <w:r>
              <w:rPr>
                <w:sz w:val="28"/>
              </w:rPr>
              <w:t xml:space="preserve"> Draft </w:t>
            </w:r>
            <w:r w:rsidRPr="0012522B">
              <w:rPr>
                <w:sz w:val="28"/>
              </w:rPr>
              <w:t>Annual Governance Statement 2018/19</w:t>
            </w:r>
          </w:p>
          <w:p w14:paraId="7EFBFE37" w14:textId="77777777" w:rsidR="0012522B" w:rsidRPr="0012522B" w:rsidRDefault="0012522B" w:rsidP="0012522B">
            <w:pPr>
              <w:rPr>
                <w:sz w:val="28"/>
              </w:rPr>
            </w:pPr>
            <w:r w:rsidRPr="0012522B">
              <w:rPr>
                <w:sz w:val="28"/>
              </w:rPr>
              <w:t>Appendix 2 – 2018/19 Evidence Table</w:t>
            </w:r>
          </w:p>
          <w:p w14:paraId="24548323" w14:textId="77777777" w:rsidR="002A2389" w:rsidRDefault="002A2389">
            <w:pPr>
              <w:pStyle w:val="Infotext"/>
            </w:pPr>
          </w:p>
        </w:tc>
      </w:tr>
    </w:tbl>
    <w:p w14:paraId="44011E2D" w14:textId="77777777" w:rsidR="002A2389" w:rsidRDefault="002A2389">
      <w:pPr>
        <w:rPr>
          <w:rFonts w:cs="Arial"/>
        </w:rPr>
      </w:pPr>
    </w:p>
    <w:p w14:paraId="79EF8F91" w14:textId="77777777"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14:paraId="112EA166" w14:textId="77777777">
        <w:tc>
          <w:tcPr>
            <w:tcW w:w="8525" w:type="dxa"/>
            <w:tcBorders>
              <w:top w:val="nil"/>
              <w:left w:val="nil"/>
              <w:right w:val="nil"/>
            </w:tcBorders>
          </w:tcPr>
          <w:p w14:paraId="7663AB1A" w14:textId="77777777" w:rsidR="00675FCB" w:rsidRDefault="00675FCB" w:rsidP="00675FCB">
            <w:pPr>
              <w:pStyle w:val="Heading1"/>
            </w:pPr>
            <w:r>
              <w:t>Section 1 – Summary and Recommendations</w:t>
            </w:r>
          </w:p>
          <w:p w14:paraId="68A80758" w14:textId="77777777" w:rsidR="00675FCB" w:rsidRDefault="00675FCB"/>
        </w:tc>
      </w:tr>
      <w:tr w:rsidR="002A2389" w14:paraId="599B15B1" w14:textId="77777777">
        <w:tc>
          <w:tcPr>
            <w:tcW w:w="8525" w:type="dxa"/>
          </w:tcPr>
          <w:p w14:paraId="44F28525" w14:textId="77777777" w:rsidR="002A2389" w:rsidRDefault="002A2389"/>
          <w:p w14:paraId="26EAB409" w14:textId="77777777" w:rsidR="002A2389" w:rsidRDefault="002A2389"/>
          <w:p w14:paraId="15097DB6" w14:textId="77777777" w:rsidR="0012522B" w:rsidRPr="0012522B" w:rsidRDefault="0012522B" w:rsidP="0012522B">
            <w:r w:rsidRPr="0012522B">
              <w:t xml:space="preserve">This report sets out the </w:t>
            </w:r>
            <w:r>
              <w:t>2</w:t>
            </w:r>
            <w:r w:rsidRPr="0012522B">
              <w:rPr>
                <w:vertAlign w:val="superscript"/>
              </w:rPr>
              <w:t>nd</w:t>
            </w:r>
            <w:r>
              <w:t xml:space="preserve"> Draft</w:t>
            </w:r>
            <w:r w:rsidRPr="0012522B">
              <w:t xml:space="preserve"> Annual Governance Statement (AGS) for 201</w:t>
            </w:r>
            <w:r>
              <w:t>9</w:t>
            </w:r>
            <w:r w:rsidRPr="0012522B">
              <w:t>/</w:t>
            </w:r>
            <w:r>
              <w:t>20</w:t>
            </w:r>
            <w:r w:rsidRPr="0012522B">
              <w:t xml:space="preserve">. </w:t>
            </w:r>
          </w:p>
          <w:p w14:paraId="28286AB0" w14:textId="77777777" w:rsidR="0012522B" w:rsidRPr="0012522B" w:rsidRDefault="0012522B" w:rsidP="0012522B">
            <w:pPr>
              <w:outlineLvl w:val="1"/>
              <w:rPr>
                <w:rFonts w:cs="Arial"/>
                <w:b/>
                <w:bCs/>
                <w:sz w:val="28"/>
                <w:szCs w:val="32"/>
              </w:rPr>
            </w:pPr>
          </w:p>
          <w:p w14:paraId="3191A4ED" w14:textId="77777777" w:rsidR="0012522B" w:rsidRPr="0012522B" w:rsidRDefault="0012522B" w:rsidP="0012522B">
            <w:pPr>
              <w:outlineLvl w:val="1"/>
              <w:rPr>
                <w:rFonts w:cs="Arial"/>
                <w:b/>
                <w:bCs/>
                <w:sz w:val="28"/>
                <w:szCs w:val="32"/>
              </w:rPr>
            </w:pPr>
            <w:r w:rsidRPr="0012522B">
              <w:rPr>
                <w:rFonts w:cs="Arial"/>
                <w:b/>
                <w:bCs/>
                <w:sz w:val="28"/>
                <w:szCs w:val="32"/>
              </w:rPr>
              <w:t xml:space="preserve">Recommendations: </w:t>
            </w:r>
          </w:p>
          <w:p w14:paraId="3B70DA69" w14:textId="77777777" w:rsidR="0012522B" w:rsidRDefault="0012522B" w:rsidP="0012522B">
            <w:r w:rsidRPr="0012522B">
              <w:t>The GARMS Committee is requested to:</w:t>
            </w:r>
          </w:p>
          <w:p w14:paraId="7377BE77" w14:textId="77777777" w:rsidR="0012522B" w:rsidRPr="0012522B" w:rsidRDefault="0012522B" w:rsidP="0012522B"/>
          <w:p w14:paraId="53D2D0A4" w14:textId="77777777" w:rsidR="002A2389" w:rsidRDefault="0012522B" w:rsidP="000E10AD">
            <w:pPr>
              <w:numPr>
                <w:ilvl w:val="0"/>
                <w:numId w:val="15"/>
              </w:numPr>
              <w:rPr>
                <w:rFonts w:cs="Arial"/>
              </w:rPr>
            </w:pPr>
            <w:r w:rsidRPr="0012522B">
              <w:rPr>
                <w:rFonts w:cs="Arial"/>
                <w:color w:val="000000"/>
                <w:szCs w:val="24"/>
              </w:rPr>
              <w:t>To review the Annual Governance Statement 201</w:t>
            </w:r>
            <w:r w:rsidRPr="000E10AD">
              <w:rPr>
                <w:rFonts w:cs="Arial"/>
                <w:color w:val="000000"/>
                <w:szCs w:val="24"/>
              </w:rPr>
              <w:t>9</w:t>
            </w:r>
            <w:r w:rsidRPr="0012522B">
              <w:rPr>
                <w:rFonts w:cs="Arial"/>
                <w:color w:val="000000"/>
                <w:szCs w:val="24"/>
              </w:rPr>
              <w:t>/</w:t>
            </w:r>
            <w:r w:rsidRPr="000E10AD">
              <w:rPr>
                <w:rFonts w:cs="Arial"/>
                <w:color w:val="000000"/>
                <w:szCs w:val="24"/>
              </w:rPr>
              <w:t>20</w:t>
            </w:r>
            <w:r w:rsidRPr="0012522B">
              <w:rPr>
                <w:rFonts w:cs="Arial"/>
                <w:color w:val="000000"/>
                <w:szCs w:val="24"/>
              </w:rPr>
              <w:t xml:space="preserve"> in line with the Committee’s terms of reference</w:t>
            </w:r>
            <w:r w:rsidRPr="000E10AD">
              <w:rPr>
                <w:rFonts w:cs="Arial"/>
                <w:color w:val="000000"/>
                <w:szCs w:val="24"/>
              </w:rPr>
              <w:t xml:space="preserve">, </w:t>
            </w:r>
            <w:r w:rsidR="000E10AD" w:rsidRPr="000E10AD">
              <w:rPr>
                <w:rFonts w:cs="Arial"/>
                <w:color w:val="000000"/>
                <w:szCs w:val="24"/>
              </w:rPr>
              <w:t xml:space="preserve">to </w:t>
            </w:r>
            <w:r w:rsidR="000E10AD" w:rsidRPr="0012522B">
              <w:rPr>
                <w:rFonts w:cs="Arial"/>
                <w:color w:val="000000"/>
                <w:szCs w:val="24"/>
              </w:rPr>
              <w:t>consider whether the AGS properly reflects the risk environment and supporting assurances and legal and financial advice, taking into account internal audit’s opinion on the overall adequacy and effectiveness of the council’s framework of governance, risk management and control</w:t>
            </w:r>
            <w:r w:rsidR="000E10AD" w:rsidRPr="000E10AD">
              <w:rPr>
                <w:rFonts w:cs="Arial"/>
                <w:color w:val="000000"/>
                <w:szCs w:val="24"/>
              </w:rPr>
              <w:t xml:space="preserve">; </w:t>
            </w:r>
            <w:r w:rsidRPr="000E10AD">
              <w:rPr>
                <w:rFonts w:cs="Arial"/>
                <w:color w:val="000000"/>
                <w:szCs w:val="24"/>
              </w:rPr>
              <w:t>suggest any appropriate changes</w:t>
            </w:r>
            <w:r w:rsidRPr="0012522B">
              <w:rPr>
                <w:rFonts w:cs="Arial"/>
                <w:color w:val="000000"/>
                <w:szCs w:val="24"/>
              </w:rPr>
              <w:t xml:space="preserve"> </w:t>
            </w:r>
            <w:r w:rsidRPr="000E10AD">
              <w:rPr>
                <w:rFonts w:cs="Arial"/>
                <w:color w:val="000000"/>
                <w:szCs w:val="24"/>
              </w:rPr>
              <w:t>and recommend</w:t>
            </w:r>
            <w:r w:rsidRPr="0012522B">
              <w:rPr>
                <w:rFonts w:cs="Arial"/>
                <w:color w:val="000000"/>
                <w:szCs w:val="24"/>
              </w:rPr>
              <w:t xml:space="preserve"> it for approval by the Leader and Chief Executive.</w:t>
            </w:r>
          </w:p>
        </w:tc>
      </w:tr>
    </w:tbl>
    <w:p w14:paraId="2D9C19A5" w14:textId="77777777"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14:paraId="58908976" w14:textId="77777777" w:rsidR="002A2389" w:rsidRDefault="002A2389">
      <w:pPr>
        <w:pStyle w:val="Heading1"/>
        <w:jc w:val="both"/>
      </w:pPr>
      <w:r>
        <w:lastRenderedPageBreak/>
        <w:br w:type="page"/>
      </w:r>
      <w:r w:rsidR="000E10AD">
        <w:lastRenderedPageBreak/>
        <w:t>S</w:t>
      </w:r>
      <w:r>
        <w:t>ection 2 – Report</w:t>
      </w:r>
    </w:p>
    <w:p w14:paraId="3BF64863" w14:textId="77777777" w:rsidR="0012522B" w:rsidRPr="0012522B" w:rsidRDefault="0012522B" w:rsidP="0012522B">
      <w:pPr>
        <w:outlineLvl w:val="1"/>
        <w:rPr>
          <w:rFonts w:cs="Arial"/>
          <w:b/>
          <w:bCs/>
          <w:sz w:val="28"/>
          <w:szCs w:val="32"/>
        </w:rPr>
      </w:pPr>
      <w:r w:rsidRPr="0012522B">
        <w:rPr>
          <w:rFonts w:cs="Arial"/>
          <w:b/>
          <w:bCs/>
          <w:sz w:val="28"/>
          <w:szCs w:val="32"/>
        </w:rPr>
        <w:t>Introduction</w:t>
      </w:r>
    </w:p>
    <w:p w14:paraId="7243D39B" w14:textId="77777777" w:rsidR="0012522B" w:rsidRPr="0012522B" w:rsidRDefault="0012522B" w:rsidP="0012522B">
      <w:pPr>
        <w:outlineLvl w:val="1"/>
        <w:rPr>
          <w:rFonts w:cs="Arial"/>
          <w:b/>
          <w:bCs/>
          <w:color w:val="0000FF"/>
          <w:sz w:val="28"/>
          <w:szCs w:val="32"/>
        </w:rPr>
      </w:pPr>
    </w:p>
    <w:p w14:paraId="2F19D2C0" w14:textId="77777777" w:rsidR="0012522B" w:rsidRPr="0012522B" w:rsidRDefault="0012522B" w:rsidP="0012522B">
      <w:pPr>
        <w:ind w:left="561" w:hanging="561"/>
        <w:rPr>
          <w:szCs w:val="24"/>
        </w:rPr>
      </w:pPr>
      <w:r w:rsidRPr="0012522B">
        <w:rPr>
          <w:szCs w:val="24"/>
        </w:rPr>
        <w:t>2.1</w:t>
      </w:r>
      <w:r w:rsidRPr="0012522B">
        <w:rPr>
          <w:szCs w:val="24"/>
        </w:rPr>
        <w:tab/>
        <w:t>Harrow Council is responsible for ensuring that its business is conducted in accordance with the law and proper standards, and that public money is safeguarded and properly accounted for, and used economically, efficiently and effectively. The Council also has a duty under section 3 of the Local Government Act 1999 to make arrangements to secure continuous improvement in the way in which its functions are exercised, having regard to a combination of economy, efficiency and effectiveness.</w:t>
      </w:r>
    </w:p>
    <w:p w14:paraId="0CB6E9E4" w14:textId="77777777" w:rsidR="0012522B" w:rsidRPr="0012522B" w:rsidRDefault="0012522B" w:rsidP="0012522B">
      <w:pPr>
        <w:outlineLvl w:val="1"/>
        <w:rPr>
          <w:rFonts w:cs="Arial"/>
          <w:bCs/>
          <w:szCs w:val="24"/>
        </w:rPr>
      </w:pPr>
    </w:p>
    <w:p w14:paraId="60379702" w14:textId="77777777" w:rsidR="0012522B" w:rsidRPr="0012522B" w:rsidRDefault="0012522B" w:rsidP="0012522B">
      <w:pPr>
        <w:ind w:left="561" w:hanging="561"/>
        <w:rPr>
          <w:szCs w:val="24"/>
        </w:rPr>
      </w:pPr>
      <w:r w:rsidRPr="0012522B">
        <w:rPr>
          <w:szCs w:val="24"/>
        </w:rPr>
        <w:t>2.2</w:t>
      </w:r>
      <w:r w:rsidRPr="0012522B">
        <w:rPr>
          <w:szCs w:val="24"/>
        </w:rPr>
        <w:tab/>
        <w:t>In discharging this overall responsibility, the Council is responsible for putting in place proper arrangements for the governance of its affairs, facilitating the effective exercise of its functions, which includes arrangements for the management of risk.</w:t>
      </w:r>
    </w:p>
    <w:p w14:paraId="4FA916FF" w14:textId="77777777" w:rsidR="0012522B" w:rsidRPr="0012522B" w:rsidRDefault="0012522B" w:rsidP="0012522B">
      <w:pPr>
        <w:outlineLvl w:val="1"/>
        <w:rPr>
          <w:rFonts w:cs="Arial"/>
          <w:bCs/>
          <w:szCs w:val="24"/>
        </w:rPr>
      </w:pPr>
    </w:p>
    <w:p w14:paraId="24E4045D" w14:textId="77777777" w:rsidR="0012522B" w:rsidRPr="0012522B" w:rsidRDefault="0012522B" w:rsidP="0012522B">
      <w:pPr>
        <w:ind w:left="561" w:hanging="561"/>
        <w:rPr>
          <w:szCs w:val="24"/>
        </w:rPr>
      </w:pPr>
      <w:r w:rsidRPr="0012522B">
        <w:rPr>
          <w:rFonts w:cs="FS Lola"/>
          <w:iCs/>
          <w:color w:val="000000"/>
          <w:szCs w:val="24"/>
        </w:rPr>
        <w:t>2.3</w:t>
      </w:r>
      <w:r w:rsidRPr="0012522B">
        <w:rPr>
          <w:rFonts w:cs="FS Lola"/>
          <w:iCs/>
          <w:color w:val="000000"/>
          <w:szCs w:val="24"/>
        </w:rPr>
        <w:tab/>
        <w:t>Regulation 6(1)(a) of the Accounts and Audit Regulations 2015 requires</w:t>
      </w:r>
      <w:r w:rsidRPr="0012522B">
        <w:rPr>
          <w:rFonts w:cs="FS Lola"/>
          <w:i/>
          <w:iCs/>
          <w:color w:val="000000"/>
          <w:sz w:val="23"/>
          <w:szCs w:val="23"/>
        </w:rPr>
        <w:t xml:space="preserve"> </w:t>
      </w:r>
      <w:r w:rsidRPr="0012522B">
        <w:rPr>
          <w:rFonts w:cs="FS Lola"/>
          <w:i/>
          <w:iCs/>
          <w:color w:val="000000"/>
          <w:szCs w:val="24"/>
        </w:rPr>
        <w:t xml:space="preserve">‘an authority to conduct a review at least once in a year of the effectiveness of its system of internal control and include a statement reporting on the review with any published Statement of Accounts (England)’. </w:t>
      </w:r>
    </w:p>
    <w:p w14:paraId="5A882173" w14:textId="77777777" w:rsidR="0012522B" w:rsidRPr="0012522B" w:rsidRDefault="0012522B" w:rsidP="0012522B">
      <w:pPr>
        <w:ind w:left="720"/>
        <w:rPr>
          <w:rFonts w:cs="FS Lola"/>
          <w:i/>
          <w:iCs/>
          <w:color w:val="000000"/>
          <w:sz w:val="23"/>
          <w:szCs w:val="23"/>
        </w:rPr>
      </w:pPr>
    </w:p>
    <w:p w14:paraId="3378256D" w14:textId="77777777" w:rsidR="0012522B" w:rsidRPr="0012522B" w:rsidRDefault="0012522B" w:rsidP="0012522B">
      <w:pPr>
        <w:ind w:left="561" w:hanging="561"/>
        <w:rPr>
          <w:szCs w:val="24"/>
        </w:rPr>
      </w:pPr>
      <w:r w:rsidRPr="0012522B">
        <w:rPr>
          <w:rFonts w:cs="FS Lola"/>
          <w:iCs/>
          <w:color w:val="000000"/>
          <w:szCs w:val="24"/>
        </w:rPr>
        <w:t>2.4</w:t>
      </w:r>
      <w:r w:rsidRPr="0012522B">
        <w:rPr>
          <w:rFonts w:cs="FS Lola"/>
          <w:iCs/>
          <w:color w:val="000000"/>
          <w:szCs w:val="24"/>
        </w:rPr>
        <w:tab/>
        <w:t>Regulation 6(1)(b) of the Accounts and Audit Regulations 2015, requires that</w:t>
      </w:r>
      <w:r w:rsidRPr="0012522B">
        <w:rPr>
          <w:rFonts w:cs="FS Lola"/>
          <w:i/>
          <w:iCs/>
          <w:color w:val="000000"/>
          <w:sz w:val="23"/>
          <w:szCs w:val="23"/>
        </w:rPr>
        <w:t xml:space="preserve"> </w:t>
      </w:r>
      <w:r w:rsidRPr="0012522B">
        <w:rPr>
          <w:rFonts w:cs="FS Lola"/>
          <w:i/>
          <w:iCs/>
          <w:color w:val="000000"/>
          <w:szCs w:val="24"/>
        </w:rPr>
        <w:t xml:space="preserve">“for a local authority in England, the statement is an Annual Governance Statement”. </w:t>
      </w:r>
    </w:p>
    <w:p w14:paraId="2340889D" w14:textId="77777777" w:rsidR="0012522B" w:rsidRPr="0012522B" w:rsidRDefault="0012522B" w:rsidP="0012522B">
      <w:pPr>
        <w:ind w:left="720"/>
        <w:rPr>
          <w:rFonts w:cs="FS Lola"/>
          <w:i/>
          <w:iCs/>
          <w:color w:val="000000"/>
          <w:szCs w:val="24"/>
        </w:rPr>
      </w:pPr>
    </w:p>
    <w:p w14:paraId="7DC5A37B" w14:textId="77777777" w:rsidR="0012522B" w:rsidRPr="0012522B" w:rsidRDefault="0012522B" w:rsidP="0012522B">
      <w:pPr>
        <w:ind w:left="561" w:hanging="561"/>
        <w:rPr>
          <w:szCs w:val="24"/>
        </w:rPr>
      </w:pPr>
      <w:r w:rsidRPr="0012522B">
        <w:rPr>
          <w:rFonts w:cs="FS Lola"/>
          <w:iCs/>
          <w:color w:val="000000"/>
          <w:szCs w:val="24"/>
        </w:rPr>
        <w:t>2.5</w:t>
      </w:r>
      <w:r w:rsidRPr="0012522B">
        <w:rPr>
          <w:rFonts w:cs="FS Lola"/>
          <w:iCs/>
          <w:color w:val="000000"/>
          <w:szCs w:val="24"/>
        </w:rPr>
        <w:tab/>
      </w:r>
      <w:r w:rsidRPr="0012522B">
        <w:t xml:space="preserve">The CIPFA/SOLACE Framework </w:t>
      </w:r>
      <w:r w:rsidRPr="0012522B">
        <w:rPr>
          <w:i/>
        </w:rPr>
        <w:t xml:space="preserve">Delivering Good Governance in Local Government </w:t>
      </w:r>
      <w:r w:rsidRPr="0012522B">
        <w:t xml:space="preserve">was updated in 2016 and </w:t>
      </w:r>
      <w:r w:rsidRPr="0012522B">
        <w:rPr>
          <w:szCs w:val="24"/>
        </w:rPr>
        <w:t>t</w:t>
      </w:r>
      <w:r w:rsidRPr="0012522B">
        <w:rPr>
          <w:rFonts w:cs="FS Lola"/>
          <w:color w:val="000000"/>
          <w:szCs w:val="24"/>
        </w:rPr>
        <w:t>his Framework applies to annual governance statements prepared for the financial year 2016/17 onwards</w:t>
      </w:r>
      <w:r w:rsidRPr="0012522B">
        <w:rPr>
          <w:rFonts w:cs="FS Lola"/>
          <w:color w:val="000000"/>
          <w:sz w:val="23"/>
          <w:szCs w:val="23"/>
        </w:rPr>
        <w:t xml:space="preserve">. The </w:t>
      </w:r>
      <w:r w:rsidRPr="0012522B">
        <w:t xml:space="preserve">overall aim of the Framework </w:t>
      </w:r>
      <w:r w:rsidRPr="0012522B">
        <w:rPr>
          <w:i/>
          <w:szCs w:val="24"/>
        </w:rPr>
        <w:t>‘</w:t>
      </w:r>
      <w:r w:rsidRPr="0012522B">
        <w:rPr>
          <w:rFonts w:cs="FS Lola"/>
          <w:i/>
          <w:color w:val="000000"/>
          <w:szCs w:val="24"/>
        </w:rPr>
        <w:t xml:space="preserve">is to ensure that resources are directed in accordance with agreed policy and according to priorities, that there is sound and inclusive decision making and that there is clear accountability for the use of those resources in order to achieve desired outcomes for service users and communities’. </w:t>
      </w:r>
    </w:p>
    <w:p w14:paraId="221DAB95" w14:textId="77777777" w:rsidR="0012522B" w:rsidRPr="0012522B" w:rsidRDefault="0012522B" w:rsidP="0012522B">
      <w:pPr>
        <w:ind w:left="720"/>
        <w:rPr>
          <w:rFonts w:cs="FS Lola"/>
          <w:i/>
          <w:iCs/>
          <w:color w:val="000000"/>
          <w:szCs w:val="24"/>
        </w:rPr>
      </w:pPr>
    </w:p>
    <w:p w14:paraId="674C3D61" w14:textId="77777777" w:rsidR="0012522B" w:rsidRPr="0012522B" w:rsidRDefault="0012522B" w:rsidP="0012522B">
      <w:pPr>
        <w:ind w:left="561" w:hanging="561"/>
        <w:rPr>
          <w:szCs w:val="24"/>
        </w:rPr>
      </w:pPr>
      <w:r w:rsidRPr="0012522B">
        <w:rPr>
          <w:rFonts w:cs="FS Lola"/>
          <w:iCs/>
          <w:color w:val="000000"/>
          <w:szCs w:val="24"/>
        </w:rPr>
        <w:t>2.6</w:t>
      </w:r>
      <w:r w:rsidRPr="0012522B">
        <w:rPr>
          <w:rFonts w:cs="FS Lola"/>
          <w:iCs/>
          <w:color w:val="000000"/>
          <w:szCs w:val="24"/>
        </w:rPr>
        <w:tab/>
        <w:t xml:space="preserve">In England the Accounts and Audit Regulations 2015 stipulate that the Annual Governance Statement must be </w:t>
      </w:r>
      <w:r w:rsidRPr="0012522B">
        <w:rPr>
          <w:rFonts w:cs="FS Lola"/>
          <w:i/>
          <w:iCs/>
          <w:color w:val="000000"/>
          <w:szCs w:val="24"/>
        </w:rPr>
        <w:t>“prepared in accordance with proper practices in relation to accounts”</w:t>
      </w:r>
      <w:r w:rsidRPr="0012522B">
        <w:t xml:space="preserve"> and must be “</w:t>
      </w:r>
      <w:r w:rsidRPr="0012522B">
        <w:rPr>
          <w:rFonts w:cs="FS Lola"/>
          <w:i/>
          <w:iCs/>
          <w:color w:val="000000"/>
          <w:szCs w:val="24"/>
        </w:rPr>
        <w:t>approved in advance of the relevant authority approving the statement of accounts. Therefore a local authority in England shall provide this statement in accordance with Delivering Good Governance in Local Government: Framework (2016) and this section of the Code”.</w:t>
      </w:r>
    </w:p>
    <w:p w14:paraId="72DBB2AA" w14:textId="77777777" w:rsidR="0012522B" w:rsidRPr="0012522B" w:rsidRDefault="0012522B" w:rsidP="0012522B">
      <w:pPr>
        <w:ind w:left="720"/>
        <w:rPr>
          <w:szCs w:val="24"/>
        </w:rPr>
      </w:pPr>
    </w:p>
    <w:p w14:paraId="71620A55" w14:textId="77777777" w:rsidR="0012522B" w:rsidRPr="0012522B" w:rsidRDefault="0012522B" w:rsidP="0012522B">
      <w:pPr>
        <w:ind w:left="561" w:hanging="561"/>
      </w:pPr>
      <w:r w:rsidRPr="0012522B">
        <w:t>2.7</w:t>
      </w:r>
      <w:r w:rsidRPr="0012522B">
        <w:tab/>
      </w:r>
      <w:r w:rsidRPr="0012522B">
        <w:rPr>
          <w:rFonts w:cs="FS Lola"/>
          <w:iCs/>
          <w:color w:val="000000"/>
          <w:szCs w:val="24"/>
        </w:rPr>
        <w:t xml:space="preserve">The preparation and publication of an Annual Governance Statement in accordance with Delivering Good Governance in Local Government: Framework (2016) would fulfil the statutory requirements across the United Kingdom for a local authority to conduct a review at least once in each financial year of the effectiveness of its system of internal control and to include a statement reporting on the review with its Statement of Accounts. </w:t>
      </w:r>
      <w:r w:rsidRPr="0012522B">
        <w:rPr>
          <w:rFonts w:cs="FS Lola"/>
          <w:i/>
          <w:color w:val="000000"/>
          <w:szCs w:val="24"/>
        </w:rPr>
        <w:t xml:space="preserve"> </w:t>
      </w:r>
    </w:p>
    <w:p w14:paraId="59335258" w14:textId="77777777" w:rsidR="0012522B" w:rsidRPr="0012522B" w:rsidRDefault="0012522B" w:rsidP="0012522B">
      <w:pPr>
        <w:ind w:left="720"/>
      </w:pPr>
    </w:p>
    <w:p w14:paraId="20EAD05D" w14:textId="77777777" w:rsidR="0012522B" w:rsidRPr="0012522B" w:rsidRDefault="0012522B" w:rsidP="0012522B">
      <w:pPr>
        <w:ind w:left="561" w:hanging="561"/>
      </w:pPr>
      <w:r w:rsidRPr="0012522B">
        <w:lastRenderedPageBreak/>
        <w:t>2.8</w:t>
      </w:r>
      <w:r w:rsidRPr="0012522B">
        <w:tab/>
        <w:t xml:space="preserve">The Annual Governance Statement explains how the Council has complied with the framework and meets the requirements of regulation 6 of the Accounts and Audit Regulations 2015 in relation to the publication of a statement of internal control (Annual Governance Statement). </w:t>
      </w:r>
    </w:p>
    <w:p w14:paraId="6B4843D1" w14:textId="77777777" w:rsidR="0012522B" w:rsidRPr="0012522B" w:rsidRDefault="0012522B" w:rsidP="0012522B">
      <w:pPr>
        <w:ind w:left="720" w:hanging="720"/>
        <w:outlineLvl w:val="1"/>
        <w:rPr>
          <w:rFonts w:cs="Arial"/>
          <w:bCs/>
          <w:szCs w:val="24"/>
        </w:rPr>
      </w:pPr>
    </w:p>
    <w:p w14:paraId="4E5EA66E" w14:textId="77777777" w:rsidR="0012522B" w:rsidRPr="0012522B" w:rsidRDefault="0012522B" w:rsidP="0012522B">
      <w:pPr>
        <w:outlineLvl w:val="1"/>
        <w:rPr>
          <w:rFonts w:cs="Arial"/>
          <w:b/>
          <w:bCs/>
          <w:szCs w:val="24"/>
        </w:rPr>
      </w:pPr>
    </w:p>
    <w:p w14:paraId="2023AD65" w14:textId="77777777" w:rsidR="0012522B" w:rsidRPr="0012522B" w:rsidRDefault="0012522B" w:rsidP="0012522B">
      <w:pPr>
        <w:outlineLvl w:val="1"/>
        <w:rPr>
          <w:rFonts w:cs="Arial"/>
          <w:b/>
          <w:bCs/>
          <w:szCs w:val="24"/>
        </w:rPr>
      </w:pPr>
      <w:r w:rsidRPr="0012522B">
        <w:rPr>
          <w:rFonts w:cs="Arial"/>
          <w:b/>
          <w:bCs/>
          <w:szCs w:val="24"/>
        </w:rPr>
        <w:t>Annual Governance Statement</w:t>
      </w:r>
    </w:p>
    <w:p w14:paraId="13BFB098" w14:textId="77777777" w:rsidR="0012522B" w:rsidRPr="0012522B" w:rsidRDefault="0012522B" w:rsidP="0012522B">
      <w:pPr>
        <w:outlineLvl w:val="1"/>
        <w:rPr>
          <w:rFonts w:cs="Arial"/>
          <w:b/>
          <w:bCs/>
          <w:color w:val="0000FF"/>
          <w:szCs w:val="24"/>
        </w:rPr>
      </w:pPr>
    </w:p>
    <w:p w14:paraId="3BE673D6" w14:textId="77777777" w:rsidR="0012522B" w:rsidRPr="0012522B" w:rsidRDefault="0012522B" w:rsidP="0012522B">
      <w:pPr>
        <w:ind w:left="709" w:hanging="709"/>
        <w:rPr>
          <w:rFonts w:cs="Arial"/>
        </w:rPr>
      </w:pPr>
      <w:r w:rsidRPr="0012522B">
        <w:rPr>
          <w:rFonts w:cs="Arial"/>
        </w:rPr>
        <w:t>2.9</w:t>
      </w:r>
      <w:r w:rsidRPr="0012522B">
        <w:rPr>
          <w:rFonts w:cs="Arial"/>
        </w:rPr>
        <w:tab/>
        <w:t xml:space="preserve">Each year the Council undertakes a robust review of its governance arrangements to meet the requirements of the Framework and this year the annual review process consisted of an evidenced based self-assessment undertaken by members of the Corporate Governance Working Group co-ordinated and reviewed by Internal Audit (Appendix 2), a management assurance exercise completed by each Directorate, and a review of the governance of shared service and partnership arrangements. </w:t>
      </w:r>
    </w:p>
    <w:p w14:paraId="12F6B090" w14:textId="77777777" w:rsidR="0012522B" w:rsidRPr="0012522B" w:rsidRDefault="0012522B" w:rsidP="0012522B">
      <w:pPr>
        <w:outlineLvl w:val="1"/>
        <w:rPr>
          <w:rFonts w:cs="Arial"/>
          <w:bCs/>
          <w:szCs w:val="24"/>
        </w:rPr>
      </w:pPr>
    </w:p>
    <w:p w14:paraId="1CE0334C" w14:textId="27653E1A" w:rsidR="0012522B" w:rsidRDefault="0012522B" w:rsidP="0012522B">
      <w:pPr>
        <w:ind w:left="720" w:hanging="720"/>
        <w:outlineLvl w:val="1"/>
        <w:rPr>
          <w:rFonts w:cs="Arial"/>
          <w:bCs/>
          <w:szCs w:val="24"/>
        </w:rPr>
      </w:pPr>
      <w:r w:rsidRPr="0012522B">
        <w:rPr>
          <w:rFonts w:cs="Arial"/>
          <w:bCs/>
          <w:szCs w:val="24"/>
        </w:rPr>
        <w:t>2.10</w:t>
      </w:r>
      <w:r w:rsidRPr="0012522B">
        <w:rPr>
          <w:rFonts w:cs="Arial"/>
          <w:bCs/>
          <w:szCs w:val="24"/>
        </w:rPr>
        <w:tab/>
        <w:t xml:space="preserve">Internal Audit co-ordinates and reviews the evidence/assurance provided as part of the process and this is used as a basis for the preparation of the AGS.   </w:t>
      </w:r>
    </w:p>
    <w:p w14:paraId="720C39E4" w14:textId="5A15E6D9" w:rsidR="007A2FBF" w:rsidRDefault="007A2FBF" w:rsidP="0012522B">
      <w:pPr>
        <w:ind w:left="720" w:hanging="720"/>
        <w:outlineLvl w:val="1"/>
        <w:rPr>
          <w:rFonts w:cs="Arial"/>
          <w:bCs/>
          <w:szCs w:val="24"/>
        </w:rPr>
      </w:pPr>
    </w:p>
    <w:p w14:paraId="09A21608" w14:textId="7F68922B" w:rsidR="007A2FBF" w:rsidRPr="007A2FBF" w:rsidRDefault="007A2FBF" w:rsidP="007A2FBF">
      <w:pPr>
        <w:ind w:left="720" w:hanging="720"/>
        <w:outlineLvl w:val="1"/>
        <w:rPr>
          <w:rFonts w:eastAsia="Calibri" w:cs="Arial"/>
          <w:szCs w:val="24"/>
          <w:lang w:eastAsia="en-GB"/>
        </w:rPr>
      </w:pPr>
      <w:r>
        <w:rPr>
          <w:rFonts w:cs="Arial"/>
          <w:bCs/>
          <w:szCs w:val="24"/>
        </w:rPr>
        <w:t>2.11</w:t>
      </w:r>
      <w:r>
        <w:rPr>
          <w:rFonts w:cs="Arial"/>
          <w:bCs/>
          <w:szCs w:val="24"/>
        </w:rPr>
        <w:tab/>
        <w:t xml:space="preserve">The 2019/20 Annual Governance Statement includes two new significant areas: the Chartered Institute of Public Finance (CIPFA) issued a briefing note requiring Council’s to include details of the impact of the </w:t>
      </w:r>
      <w:proofErr w:type="spellStart"/>
      <w:r>
        <w:rPr>
          <w:rFonts w:cs="Arial"/>
          <w:bCs/>
          <w:szCs w:val="24"/>
        </w:rPr>
        <w:t>Covid</w:t>
      </w:r>
      <w:proofErr w:type="spellEnd"/>
      <w:r>
        <w:rPr>
          <w:rFonts w:cs="Arial"/>
          <w:bCs/>
          <w:szCs w:val="24"/>
        </w:rPr>
        <w:t xml:space="preserve"> 19 pandemic on governance within their 2019/20 statements and </w:t>
      </w:r>
      <w:r w:rsidRPr="00592734">
        <w:rPr>
          <w:rFonts w:cs="Arial"/>
          <w:szCs w:val="24"/>
        </w:rPr>
        <w:t xml:space="preserve">the Committee on Standards in Public Life published its report on local government ethical standards </w:t>
      </w:r>
      <w:r>
        <w:rPr>
          <w:rFonts w:cs="Arial"/>
          <w:szCs w:val="24"/>
        </w:rPr>
        <w:t xml:space="preserve">stating that it is best practice to </w:t>
      </w:r>
      <w:r w:rsidRPr="007A2FBF">
        <w:rPr>
          <w:rFonts w:eastAsia="Calibri" w:cs="Arial"/>
          <w:szCs w:val="24"/>
          <w:lang w:eastAsia="en-GB"/>
        </w:rPr>
        <w:t xml:space="preserve">report on separate bodies they have set up or which they own as part of their annual governance statement, and give a full picture of their relationship with those bodies. </w:t>
      </w:r>
    </w:p>
    <w:p w14:paraId="601C99D0" w14:textId="77777777" w:rsidR="0012522B" w:rsidRPr="0012522B" w:rsidRDefault="0012522B" w:rsidP="0012522B">
      <w:pPr>
        <w:outlineLvl w:val="1"/>
        <w:rPr>
          <w:rFonts w:cs="Arial"/>
          <w:bCs/>
          <w:szCs w:val="24"/>
        </w:rPr>
      </w:pPr>
    </w:p>
    <w:p w14:paraId="4445AB09" w14:textId="2B2832E2" w:rsidR="0012522B" w:rsidRPr="0012522B" w:rsidRDefault="0012522B" w:rsidP="0012522B">
      <w:pPr>
        <w:ind w:left="720" w:hanging="720"/>
        <w:outlineLvl w:val="1"/>
        <w:rPr>
          <w:rFonts w:cs="Arial"/>
          <w:bCs/>
          <w:szCs w:val="24"/>
        </w:rPr>
      </w:pPr>
      <w:r w:rsidRPr="0012522B">
        <w:rPr>
          <w:rFonts w:cs="Arial"/>
          <w:bCs/>
          <w:szCs w:val="24"/>
        </w:rPr>
        <w:t>2.12</w:t>
      </w:r>
      <w:r w:rsidRPr="0012522B">
        <w:rPr>
          <w:rFonts w:cs="Arial"/>
          <w:bCs/>
          <w:szCs w:val="24"/>
        </w:rPr>
        <w:tab/>
        <w:t xml:space="preserve">The Annual Governance Statement (Appendix 1) is prepared on behalf of the Leader of the Council and the Chief Executive who </w:t>
      </w:r>
      <w:r>
        <w:rPr>
          <w:rFonts w:cs="Arial"/>
          <w:bCs/>
          <w:szCs w:val="24"/>
        </w:rPr>
        <w:t xml:space="preserve">reviewed </w:t>
      </w:r>
      <w:r w:rsidR="00F732B8">
        <w:rPr>
          <w:rFonts w:cs="Arial"/>
          <w:bCs/>
          <w:szCs w:val="24"/>
        </w:rPr>
        <w:t xml:space="preserve">the </w:t>
      </w:r>
      <w:r>
        <w:rPr>
          <w:rFonts w:cs="Arial"/>
          <w:bCs/>
          <w:szCs w:val="24"/>
        </w:rPr>
        <w:t>1</w:t>
      </w:r>
      <w:r w:rsidRPr="0012522B">
        <w:rPr>
          <w:rFonts w:cs="Arial"/>
          <w:bCs/>
          <w:szCs w:val="24"/>
          <w:vertAlign w:val="superscript"/>
        </w:rPr>
        <w:t>st</w:t>
      </w:r>
      <w:r>
        <w:rPr>
          <w:rFonts w:cs="Arial"/>
          <w:bCs/>
          <w:szCs w:val="24"/>
        </w:rPr>
        <w:t xml:space="preserve"> </w:t>
      </w:r>
      <w:r w:rsidR="00F732B8">
        <w:rPr>
          <w:rFonts w:cs="Arial"/>
          <w:bCs/>
          <w:szCs w:val="24"/>
        </w:rPr>
        <w:t>d</w:t>
      </w:r>
      <w:r>
        <w:rPr>
          <w:rFonts w:cs="Arial"/>
          <w:bCs/>
          <w:szCs w:val="24"/>
        </w:rPr>
        <w:t>raft</w:t>
      </w:r>
      <w:r w:rsidRPr="0012522B">
        <w:rPr>
          <w:rFonts w:cs="Arial"/>
          <w:bCs/>
          <w:szCs w:val="24"/>
        </w:rPr>
        <w:t xml:space="preserve"> AGS that was </w:t>
      </w:r>
      <w:r>
        <w:rPr>
          <w:rFonts w:cs="Arial"/>
          <w:bCs/>
          <w:szCs w:val="24"/>
        </w:rPr>
        <w:t>included in the 20</w:t>
      </w:r>
      <w:r w:rsidR="00F732B8">
        <w:rPr>
          <w:rFonts w:cs="Arial"/>
          <w:bCs/>
          <w:szCs w:val="24"/>
        </w:rPr>
        <w:t>1</w:t>
      </w:r>
      <w:r>
        <w:rPr>
          <w:rFonts w:cs="Arial"/>
          <w:bCs/>
          <w:szCs w:val="24"/>
        </w:rPr>
        <w:t xml:space="preserve">9/20 draft accounts </w:t>
      </w:r>
      <w:r w:rsidR="00F732B8">
        <w:rPr>
          <w:rFonts w:cs="Arial"/>
          <w:bCs/>
          <w:szCs w:val="24"/>
        </w:rPr>
        <w:t xml:space="preserve">published </w:t>
      </w:r>
      <w:r w:rsidRPr="0012522B">
        <w:rPr>
          <w:rFonts w:cs="Arial"/>
          <w:bCs/>
          <w:szCs w:val="24"/>
        </w:rPr>
        <w:t>on 06/06/19</w:t>
      </w:r>
      <w:r w:rsidR="00F732B8">
        <w:rPr>
          <w:rFonts w:cs="Arial"/>
          <w:bCs/>
          <w:szCs w:val="24"/>
        </w:rPr>
        <w:t xml:space="preserve"> and included on the agenda of this meeting</w:t>
      </w:r>
      <w:r w:rsidRPr="0012522B">
        <w:rPr>
          <w:rFonts w:cs="Arial"/>
          <w:bCs/>
          <w:szCs w:val="24"/>
        </w:rPr>
        <w:t xml:space="preserve">.  </w:t>
      </w:r>
      <w:r w:rsidR="00F732B8">
        <w:rPr>
          <w:rFonts w:cs="Arial"/>
          <w:bCs/>
          <w:szCs w:val="24"/>
        </w:rPr>
        <w:t xml:space="preserve">Due to the disruption caused by </w:t>
      </w:r>
      <w:proofErr w:type="spellStart"/>
      <w:r w:rsidR="00F732B8">
        <w:rPr>
          <w:rFonts w:cs="Arial"/>
          <w:bCs/>
          <w:szCs w:val="24"/>
        </w:rPr>
        <w:t>Covid</w:t>
      </w:r>
      <w:proofErr w:type="spellEnd"/>
      <w:r w:rsidR="00F732B8">
        <w:rPr>
          <w:rFonts w:cs="Arial"/>
          <w:bCs/>
          <w:szCs w:val="24"/>
        </w:rPr>
        <w:t xml:space="preserve"> 19 not all assurances were obtained/analysed in time to be included in</w:t>
      </w:r>
      <w:r w:rsidR="00473275">
        <w:rPr>
          <w:rFonts w:cs="Arial"/>
          <w:bCs/>
          <w:szCs w:val="24"/>
        </w:rPr>
        <w:t xml:space="preserve"> </w:t>
      </w:r>
      <w:r w:rsidR="00F732B8">
        <w:rPr>
          <w:rFonts w:cs="Arial"/>
          <w:bCs/>
          <w:szCs w:val="24"/>
        </w:rPr>
        <w:t>t</w:t>
      </w:r>
      <w:r w:rsidR="00473275">
        <w:rPr>
          <w:rFonts w:cs="Arial"/>
          <w:bCs/>
          <w:szCs w:val="24"/>
        </w:rPr>
        <w:t>he</w:t>
      </w:r>
      <w:r w:rsidR="00F732B8">
        <w:rPr>
          <w:rFonts w:cs="Arial"/>
          <w:bCs/>
          <w:szCs w:val="24"/>
        </w:rPr>
        <w:t xml:space="preserve"> 1</w:t>
      </w:r>
      <w:r w:rsidR="00F732B8" w:rsidRPr="00F732B8">
        <w:rPr>
          <w:rFonts w:cs="Arial"/>
          <w:bCs/>
          <w:szCs w:val="24"/>
          <w:vertAlign w:val="superscript"/>
        </w:rPr>
        <w:t>st</w:t>
      </w:r>
      <w:r w:rsidR="00F732B8">
        <w:rPr>
          <w:rFonts w:cs="Arial"/>
          <w:bCs/>
          <w:szCs w:val="24"/>
        </w:rPr>
        <w:t xml:space="preserve"> draft and hence this  2</w:t>
      </w:r>
      <w:r w:rsidR="00F732B8" w:rsidRPr="00F732B8">
        <w:rPr>
          <w:rFonts w:cs="Arial"/>
          <w:bCs/>
          <w:szCs w:val="24"/>
          <w:vertAlign w:val="superscript"/>
        </w:rPr>
        <w:t>nd</w:t>
      </w:r>
      <w:r w:rsidR="00F732B8">
        <w:rPr>
          <w:rFonts w:cs="Arial"/>
          <w:bCs/>
          <w:szCs w:val="24"/>
        </w:rPr>
        <w:t xml:space="preserve"> draft </w:t>
      </w:r>
      <w:r w:rsidRPr="0012522B">
        <w:rPr>
          <w:rFonts w:cs="Arial"/>
          <w:bCs/>
          <w:szCs w:val="24"/>
        </w:rPr>
        <w:t xml:space="preserve">AGS </w:t>
      </w:r>
      <w:r w:rsidR="00F732B8">
        <w:rPr>
          <w:rFonts w:cs="Arial"/>
          <w:bCs/>
          <w:szCs w:val="24"/>
        </w:rPr>
        <w:t xml:space="preserve">has been prepared and </w:t>
      </w:r>
      <w:r w:rsidRPr="0012522B">
        <w:rPr>
          <w:rFonts w:cs="Arial"/>
          <w:bCs/>
          <w:szCs w:val="24"/>
        </w:rPr>
        <w:t xml:space="preserve">will be signed off by the Leader and the Chief Executive and included with the annual accounts to meet the statutory requirement of Regulation 6 of the Accounts and Audit Regulations 2015 which requires authorities to “conduct a review at least once in a year of the effectiveness of its system of internal control” </w:t>
      </w:r>
    </w:p>
    <w:p w14:paraId="3FBF5661" w14:textId="77777777" w:rsidR="0012522B" w:rsidRPr="0012522B" w:rsidRDefault="0012522B" w:rsidP="0012522B">
      <w:pPr>
        <w:outlineLvl w:val="1"/>
        <w:rPr>
          <w:rFonts w:cs="Arial"/>
          <w:bCs/>
          <w:szCs w:val="24"/>
        </w:rPr>
      </w:pPr>
    </w:p>
    <w:p w14:paraId="2A61A679" w14:textId="7444FFDE" w:rsidR="0012522B" w:rsidRPr="0012522B" w:rsidRDefault="0012522B" w:rsidP="0012522B">
      <w:pPr>
        <w:ind w:left="720" w:hanging="720"/>
        <w:outlineLvl w:val="1"/>
        <w:rPr>
          <w:rFonts w:cs="Arial"/>
          <w:bCs/>
          <w:szCs w:val="24"/>
        </w:rPr>
      </w:pPr>
      <w:r w:rsidRPr="0012522B">
        <w:rPr>
          <w:rFonts w:cs="Arial"/>
          <w:bCs/>
          <w:szCs w:val="24"/>
        </w:rPr>
        <w:t>2.13</w:t>
      </w:r>
      <w:r w:rsidRPr="0012522B">
        <w:rPr>
          <w:rFonts w:cs="Arial"/>
          <w:bCs/>
          <w:szCs w:val="24"/>
        </w:rPr>
        <w:tab/>
      </w:r>
      <w:r w:rsidR="00F732B8">
        <w:rPr>
          <w:rFonts w:cs="Arial"/>
          <w:bCs/>
          <w:szCs w:val="24"/>
        </w:rPr>
        <w:t>A number of</w:t>
      </w:r>
      <w:r w:rsidRPr="0012522B">
        <w:rPr>
          <w:rFonts w:cs="Arial"/>
          <w:bCs/>
          <w:szCs w:val="24"/>
        </w:rPr>
        <w:t xml:space="preserve"> changes </w:t>
      </w:r>
      <w:r w:rsidR="00473275">
        <w:rPr>
          <w:rFonts w:cs="Arial"/>
          <w:bCs/>
          <w:szCs w:val="24"/>
        </w:rPr>
        <w:t xml:space="preserve">(shown in red) </w:t>
      </w:r>
      <w:r w:rsidRPr="0012522B">
        <w:rPr>
          <w:rFonts w:cs="Arial"/>
          <w:bCs/>
          <w:szCs w:val="24"/>
        </w:rPr>
        <w:t xml:space="preserve">have been made since the </w:t>
      </w:r>
      <w:r w:rsidR="00F732B8">
        <w:rPr>
          <w:rFonts w:cs="Arial"/>
          <w:bCs/>
          <w:szCs w:val="24"/>
        </w:rPr>
        <w:t>1</w:t>
      </w:r>
      <w:r w:rsidR="00F732B8" w:rsidRPr="00F732B8">
        <w:rPr>
          <w:rFonts w:cs="Arial"/>
          <w:bCs/>
          <w:szCs w:val="24"/>
          <w:vertAlign w:val="superscript"/>
        </w:rPr>
        <w:t>st</w:t>
      </w:r>
      <w:r w:rsidR="00F732B8">
        <w:rPr>
          <w:rFonts w:cs="Arial"/>
          <w:bCs/>
          <w:szCs w:val="24"/>
        </w:rPr>
        <w:t xml:space="preserve"> </w:t>
      </w:r>
      <w:r w:rsidRPr="0012522B">
        <w:rPr>
          <w:rFonts w:cs="Arial"/>
          <w:bCs/>
          <w:szCs w:val="24"/>
        </w:rPr>
        <w:t xml:space="preserve">draft AGS was </w:t>
      </w:r>
      <w:r w:rsidR="00F732B8">
        <w:rPr>
          <w:rFonts w:cs="Arial"/>
          <w:bCs/>
          <w:szCs w:val="24"/>
        </w:rPr>
        <w:t xml:space="preserve">included in the draft accounts </w:t>
      </w:r>
      <w:r w:rsidRPr="0012522B">
        <w:rPr>
          <w:rFonts w:cs="Arial"/>
          <w:bCs/>
          <w:szCs w:val="24"/>
        </w:rPr>
        <w:t xml:space="preserve">and the committees’ attention is specifically drawn to </w:t>
      </w:r>
      <w:r w:rsidR="00F732B8">
        <w:rPr>
          <w:rFonts w:cs="Arial"/>
          <w:bCs/>
          <w:szCs w:val="24"/>
        </w:rPr>
        <w:t xml:space="preserve">Financial Impact paragraph of the Covid-19 Impact on Governance section; </w:t>
      </w:r>
      <w:r w:rsidR="000E10AD">
        <w:rPr>
          <w:rFonts w:cs="Arial"/>
          <w:bCs/>
          <w:szCs w:val="24"/>
        </w:rPr>
        <w:t xml:space="preserve">the final paragraph of section 3.5; </w:t>
      </w:r>
      <w:r w:rsidRPr="0012522B">
        <w:rPr>
          <w:rFonts w:cs="Arial"/>
          <w:bCs/>
          <w:szCs w:val="24"/>
        </w:rPr>
        <w:t>section</w:t>
      </w:r>
      <w:r w:rsidR="000E10AD">
        <w:rPr>
          <w:rFonts w:cs="Arial"/>
          <w:bCs/>
          <w:szCs w:val="24"/>
        </w:rPr>
        <w:t xml:space="preserve"> 3.6; the third paragraph of 3.8; section 3.11; the middle section of section 3.14; the Head of Internal Audit’s overall opinion contained in section 4 and the significant governance gap identified in section 6.1,</w:t>
      </w:r>
      <w:r w:rsidRPr="0012522B">
        <w:rPr>
          <w:rFonts w:cs="Arial"/>
          <w:bCs/>
          <w:szCs w:val="24"/>
        </w:rPr>
        <w:t xml:space="preserve"> all of which have been updated since the </w:t>
      </w:r>
      <w:r w:rsidR="000E10AD">
        <w:rPr>
          <w:rFonts w:cs="Arial"/>
          <w:bCs/>
          <w:szCs w:val="24"/>
        </w:rPr>
        <w:t>1</w:t>
      </w:r>
      <w:r w:rsidR="000E10AD" w:rsidRPr="000E10AD">
        <w:rPr>
          <w:rFonts w:cs="Arial"/>
          <w:bCs/>
          <w:szCs w:val="24"/>
          <w:vertAlign w:val="superscript"/>
        </w:rPr>
        <w:t>st</w:t>
      </w:r>
      <w:r w:rsidR="000E10AD">
        <w:rPr>
          <w:rFonts w:cs="Arial"/>
          <w:bCs/>
          <w:szCs w:val="24"/>
        </w:rPr>
        <w:t xml:space="preserve"> </w:t>
      </w:r>
      <w:r w:rsidRPr="0012522B">
        <w:rPr>
          <w:rFonts w:cs="Arial"/>
          <w:bCs/>
          <w:szCs w:val="24"/>
        </w:rPr>
        <w:t>draft.</w:t>
      </w:r>
      <w:r w:rsidR="00473275">
        <w:rPr>
          <w:rFonts w:cs="Arial"/>
          <w:bCs/>
          <w:szCs w:val="24"/>
        </w:rPr>
        <w:t xml:space="preserve"> </w:t>
      </w:r>
    </w:p>
    <w:p w14:paraId="7F3C449F" w14:textId="77777777" w:rsidR="0012522B" w:rsidRPr="0012522B" w:rsidRDefault="0012522B" w:rsidP="0012522B">
      <w:pPr>
        <w:ind w:left="720" w:hanging="720"/>
      </w:pPr>
    </w:p>
    <w:p w14:paraId="462191B4" w14:textId="77777777" w:rsidR="00213BE7" w:rsidRDefault="00213BE7" w:rsidP="00213BE7">
      <w:pPr>
        <w:pStyle w:val="Heading2"/>
      </w:pPr>
      <w:r>
        <w:lastRenderedPageBreak/>
        <w:t>Legal Implications</w:t>
      </w:r>
    </w:p>
    <w:p w14:paraId="10DF8FAB" w14:textId="77777777" w:rsidR="00213BE7" w:rsidRDefault="00213BE7" w:rsidP="00213BE7">
      <w:pPr>
        <w:pStyle w:val="Heading4"/>
        <w:keepNext w:val="0"/>
        <w:rPr>
          <w:b w:val="0"/>
        </w:rPr>
      </w:pPr>
    </w:p>
    <w:p w14:paraId="6B974E76" w14:textId="77777777" w:rsidR="00213BE7" w:rsidRDefault="0011306A" w:rsidP="00213BE7">
      <w:pPr>
        <w:pStyle w:val="Heading4"/>
        <w:rPr>
          <w:b w:val="0"/>
        </w:rPr>
      </w:pPr>
      <w:r>
        <w:rPr>
          <w:b w:val="0"/>
        </w:rPr>
        <w:t>As covered in the main body of the report.</w:t>
      </w:r>
    </w:p>
    <w:p w14:paraId="26A9FFAD" w14:textId="77777777" w:rsidR="00213BE7" w:rsidRDefault="00213BE7">
      <w:pPr>
        <w:pStyle w:val="Heading2"/>
      </w:pPr>
    </w:p>
    <w:p w14:paraId="62C25E98" w14:textId="77777777" w:rsidR="002A2389" w:rsidRDefault="002A2389">
      <w:pPr>
        <w:pStyle w:val="Heading2"/>
      </w:pPr>
      <w:r>
        <w:t>Financial Implications</w:t>
      </w:r>
    </w:p>
    <w:p w14:paraId="55B3E9C0" w14:textId="77777777" w:rsidR="002C1794" w:rsidRDefault="002C1794"/>
    <w:p w14:paraId="721B403E" w14:textId="77777777" w:rsidR="002A2389" w:rsidRDefault="0011306A" w:rsidP="0011306A">
      <w:pPr>
        <w:rPr>
          <w:rFonts w:cs="Arial"/>
        </w:rPr>
      </w:pPr>
      <w:r>
        <w:t>There are no financial implications to this report.</w:t>
      </w:r>
    </w:p>
    <w:p w14:paraId="1A7C6E08" w14:textId="77777777" w:rsidR="002A2389" w:rsidRDefault="002A2389">
      <w:pPr>
        <w:rPr>
          <w:rFonts w:cs="Arial"/>
        </w:rPr>
      </w:pPr>
    </w:p>
    <w:p w14:paraId="3295E4C6" w14:textId="77777777" w:rsidR="00FF71E5" w:rsidRDefault="00FF71E5"/>
    <w:p w14:paraId="3B765ECA" w14:textId="77777777" w:rsidR="00C32DAE" w:rsidRDefault="00C32DAE" w:rsidP="00E02B50">
      <w:pPr>
        <w:pStyle w:val="Heading2"/>
      </w:pPr>
      <w:r>
        <w:t>Risk Management Implications</w:t>
      </w:r>
    </w:p>
    <w:p w14:paraId="471F4393" w14:textId="77777777" w:rsidR="00C32DAE" w:rsidRDefault="00C32DAE" w:rsidP="00C32DAE">
      <w:pPr>
        <w:pStyle w:val="Heading1"/>
        <w:rPr>
          <w:b/>
          <w:sz w:val="24"/>
          <w:szCs w:val="24"/>
        </w:rPr>
      </w:pPr>
    </w:p>
    <w:p w14:paraId="1570303A" w14:textId="77777777" w:rsidR="00213BE7" w:rsidRPr="0011306A" w:rsidRDefault="0011306A" w:rsidP="0011306A">
      <w:pPr>
        <w:pStyle w:val="infotext0"/>
        <w:spacing w:before="0" w:beforeAutospacing="0" w:after="0" w:afterAutospacing="0"/>
        <w:ind w:right="81"/>
        <w:rPr>
          <w:bCs/>
          <w:i/>
          <w:iCs/>
          <w:color w:val="0000FF"/>
        </w:rPr>
      </w:pPr>
      <w:r w:rsidRPr="0011306A">
        <w:rPr>
          <w:rFonts w:ascii="Arial" w:hAnsi="Arial"/>
          <w:bCs/>
          <w:lang w:val="en-GB"/>
        </w:rPr>
        <w:t xml:space="preserve">Preparation of the AGS describing the annual review of governance mitigates the risk of the Council not complying with </w:t>
      </w:r>
      <w:r w:rsidRPr="0011306A">
        <w:rPr>
          <w:rFonts w:ascii="Arial" w:hAnsi="Arial" w:cs="FS Lola"/>
          <w:bCs/>
          <w:iCs/>
          <w:color w:val="000000"/>
          <w:lang w:val="en-GB"/>
        </w:rPr>
        <w:t>Regulation 6 of the Accounts and Audit Regulations 2015.</w:t>
      </w:r>
      <w:r w:rsidRPr="0011306A">
        <w:rPr>
          <w:bCs/>
          <w:i/>
          <w:iCs/>
          <w:color w:val="0000FF"/>
        </w:rPr>
        <w:t xml:space="preserve"> </w:t>
      </w:r>
    </w:p>
    <w:p w14:paraId="0BF6E209" w14:textId="77777777" w:rsidR="00213BE7" w:rsidRDefault="00213BE7" w:rsidP="00C32DAE">
      <w:pPr>
        <w:ind w:right="141"/>
        <w:rPr>
          <w:rFonts w:cs="Arial"/>
          <w:szCs w:val="24"/>
          <w:lang w:val="en-US"/>
        </w:rPr>
      </w:pPr>
    </w:p>
    <w:p w14:paraId="194A3941" w14:textId="77777777" w:rsidR="00FD31A0" w:rsidRPr="004A2543" w:rsidRDefault="00FD31A0" w:rsidP="00FD31A0">
      <w:pPr>
        <w:pStyle w:val="Heading2"/>
        <w:keepNext/>
      </w:pPr>
      <w:r w:rsidRPr="004A2543">
        <w:t>Equalities implications</w:t>
      </w:r>
      <w:r w:rsidR="00213BE7">
        <w:t xml:space="preserve"> / Public Sector Equality Duty </w:t>
      </w:r>
    </w:p>
    <w:p w14:paraId="4F833F1D" w14:textId="77777777" w:rsidR="00FD31A0" w:rsidRDefault="00FD31A0" w:rsidP="00FD31A0">
      <w:pPr>
        <w:keepNext/>
      </w:pPr>
    </w:p>
    <w:p w14:paraId="791926D4" w14:textId="77777777" w:rsidR="00900464" w:rsidRDefault="0011306A" w:rsidP="0011306A">
      <w:pPr>
        <w:rPr>
          <w:rFonts w:cs="Arial"/>
          <w:szCs w:val="24"/>
          <w:lang w:val="en-US"/>
        </w:rPr>
      </w:pPr>
      <w:r>
        <w:t>N/A</w:t>
      </w:r>
    </w:p>
    <w:p w14:paraId="54F3976A" w14:textId="77777777" w:rsidR="00213BE7" w:rsidRDefault="00213BE7" w:rsidP="00C32DAE">
      <w:pPr>
        <w:ind w:right="141"/>
        <w:rPr>
          <w:rFonts w:cs="Arial"/>
          <w:szCs w:val="24"/>
          <w:lang w:val="en-US"/>
        </w:rPr>
      </w:pPr>
    </w:p>
    <w:p w14:paraId="200495DA" w14:textId="77777777" w:rsidR="004B4A47" w:rsidRPr="00CD57D8" w:rsidRDefault="00AC0AAB" w:rsidP="004B4A47">
      <w:pPr>
        <w:pStyle w:val="Heading2"/>
      </w:pPr>
      <w:r>
        <w:t xml:space="preserve">Council </w:t>
      </w:r>
      <w:r w:rsidR="004B4A47" w:rsidRPr="00CD57D8">
        <w:t>Priorities</w:t>
      </w:r>
    </w:p>
    <w:p w14:paraId="6AF58597" w14:textId="77777777" w:rsidR="004B4A47" w:rsidRPr="00CD57D8" w:rsidRDefault="004B4A47" w:rsidP="004B4A47">
      <w:pPr>
        <w:keepNext/>
        <w:ind w:right="144"/>
        <w:rPr>
          <w:rFonts w:cs="Arial"/>
          <w:szCs w:val="24"/>
          <w:lang w:val="en-US"/>
        </w:rPr>
      </w:pPr>
    </w:p>
    <w:p w14:paraId="6812D0F0" w14:textId="77777777" w:rsidR="0011306A" w:rsidRPr="0011306A" w:rsidRDefault="0011306A" w:rsidP="0011306A">
      <w:pPr>
        <w:pStyle w:val="infotext0"/>
        <w:spacing w:before="0" w:beforeAutospacing="0" w:after="0" w:afterAutospacing="0"/>
        <w:ind w:right="81"/>
        <w:rPr>
          <w:rFonts w:ascii="Arial" w:hAnsi="Arial" w:cs="Arial"/>
          <w:bCs/>
        </w:rPr>
      </w:pPr>
      <w:r w:rsidRPr="0011306A">
        <w:rPr>
          <w:rFonts w:ascii="Arial" w:hAnsi="Arial" w:cs="Arial"/>
          <w:bCs/>
        </w:rPr>
        <w:t>The annual review of governance reviews arrangements in place to ensure that the intended positive outcomes for residents as outlined by the Council’s priorities are achieved.</w:t>
      </w:r>
    </w:p>
    <w:p w14:paraId="34E6745C" w14:textId="77777777" w:rsidR="00EF2F91" w:rsidRPr="00400032" w:rsidRDefault="00EF2F91" w:rsidP="00EF2F91"/>
    <w:p w14:paraId="080AB9DA"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Improving the environment and addressing climate change</w:t>
      </w:r>
    </w:p>
    <w:p w14:paraId="1E889E2A" w14:textId="77777777" w:rsidR="005031DF" w:rsidRPr="005031DF" w:rsidRDefault="005031DF" w:rsidP="005031DF">
      <w:pPr>
        <w:autoSpaceDE w:val="0"/>
        <w:autoSpaceDN w:val="0"/>
        <w:rPr>
          <w:rFonts w:ascii="Arial Bold" w:hAnsi="Arial Bold"/>
          <w:b/>
          <w:bCs/>
        </w:rPr>
      </w:pPr>
    </w:p>
    <w:p w14:paraId="7A286D0C"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Tackling poverty and inequality</w:t>
      </w:r>
    </w:p>
    <w:p w14:paraId="7BEC639C" w14:textId="77777777" w:rsidR="005031DF" w:rsidRPr="005031DF" w:rsidRDefault="005031DF" w:rsidP="005031DF">
      <w:pPr>
        <w:autoSpaceDE w:val="0"/>
        <w:autoSpaceDN w:val="0"/>
        <w:rPr>
          <w:rFonts w:ascii="Arial Bold" w:hAnsi="Arial Bold"/>
          <w:b/>
          <w:bCs/>
        </w:rPr>
      </w:pPr>
    </w:p>
    <w:p w14:paraId="36B65A6C"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Building homes and infrastructure</w:t>
      </w:r>
    </w:p>
    <w:p w14:paraId="0CB7B9BA" w14:textId="77777777" w:rsidR="005031DF" w:rsidRPr="005031DF" w:rsidRDefault="005031DF" w:rsidP="005031DF">
      <w:pPr>
        <w:autoSpaceDE w:val="0"/>
        <w:autoSpaceDN w:val="0"/>
        <w:rPr>
          <w:rFonts w:ascii="Arial Bold" w:hAnsi="Arial Bold"/>
        </w:rPr>
      </w:pPr>
    </w:p>
    <w:p w14:paraId="7F5CDBE6" w14:textId="77777777" w:rsidR="005031DF" w:rsidRPr="005031DF" w:rsidRDefault="005031DF" w:rsidP="005031DF">
      <w:pPr>
        <w:pStyle w:val="ListParagraph"/>
        <w:numPr>
          <w:ilvl w:val="0"/>
          <w:numId w:val="9"/>
        </w:numPr>
        <w:autoSpaceDE w:val="0"/>
        <w:autoSpaceDN w:val="0"/>
        <w:contextualSpacing/>
        <w:rPr>
          <w:rFonts w:ascii="Arial Bold" w:hAnsi="Arial Bold"/>
          <w:b/>
          <w:sz w:val="24"/>
        </w:rPr>
      </w:pPr>
      <w:r w:rsidRPr="005031DF">
        <w:rPr>
          <w:rFonts w:ascii="Arial Bold" w:hAnsi="Arial Bold"/>
          <w:b/>
          <w:sz w:val="24"/>
        </w:rPr>
        <w:t>Addressing health and social care inequality</w:t>
      </w:r>
    </w:p>
    <w:p w14:paraId="286D03C3" w14:textId="77777777" w:rsidR="005031DF" w:rsidRPr="005031DF" w:rsidRDefault="005031DF" w:rsidP="005031DF">
      <w:pPr>
        <w:autoSpaceDE w:val="0"/>
        <w:autoSpaceDN w:val="0"/>
        <w:rPr>
          <w:rFonts w:ascii="Arial Bold" w:hAnsi="Arial Bold"/>
        </w:rPr>
      </w:pPr>
    </w:p>
    <w:p w14:paraId="79361765" w14:textId="77777777" w:rsidR="005031DF" w:rsidRPr="005031DF" w:rsidRDefault="005031DF" w:rsidP="005031DF">
      <w:pPr>
        <w:pStyle w:val="ListParagraph"/>
        <w:numPr>
          <w:ilvl w:val="0"/>
          <w:numId w:val="9"/>
        </w:numPr>
        <w:autoSpaceDE w:val="0"/>
        <w:autoSpaceDN w:val="0"/>
        <w:contextualSpacing/>
        <w:rPr>
          <w:rFonts w:ascii="Arial Bold" w:hAnsi="Arial Bold"/>
          <w:b/>
          <w:sz w:val="24"/>
        </w:rPr>
      </w:pPr>
      <w:r w:rsidRPr="005031DF">
        <w:rPr>
          <w:rFonts w:ascii="Arial Bold" w:hAnsi="Arial Bold"/>
          <w:b/>
          <w:sz w:val="24"/>
        </w:rPr>
        <w:t>Thriving economy</w:t>
      </w:r>
    </w:p>
    <w:p w14:paraId="2B2C6971" w14:textId="77777777" w:rsidR="001B441D" w:rsidRPr="007B7BAC" w:rsidRDefault="001B441D" w:rsidP="001B441D">
      <w:pPr>
        <w:rPr>
          <w:rFonts w:cs="Arial"/>
        </w:rPr>
      </w:pPr>
    </w:p>
    <w:p w14:paraId="61D5CF51" w14:textId="77777777"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14:paraId="627F4A43" w14:textId="77777777" w:rsidR="002A2389" w:rsidRDefault="002A2389" w:rsidP="008D1750">
      <w:pPr>
        <w:pStyle w:val="Heading1"/>
        <w:keepNext/>
      </w:pPr>
      <w:r>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5"/>
        <w:gridCol w:w="370"/>
        <w:gridCol w:w="222"/>
        <w:gridCol w:w="3218"/>
      </w:tblGrid>
      <w:tr w:rsidR="002A2389" w14:paraId="7283834C" w14:textId="77777777" w:rsidTr="0011306A">
        <w:tc>
          <w:tcPr>
            <w:tcW w:w="2792" w:type="pct"/>
            <w:tcBorders>
              <w:bottom w:val="nil"/>
              <w:right w:val="nil"/>
            </w:tcBorders>
          </w:tcPr>
          <w:p w14:paraId="4850E580" w14:textId="77777777" w:rsidR="002A2389" w:rsidRDefault="002A2389">
            <w:pPr>
              <w:pStyle w:val="Infotext"/>
            </w:pPr>
          </w:p>
          <w:p w14:paraId="62812E53" w14:textId="77777777" w:rsidR="002A2389" w:rsidRDefault="002A2389">
            <w:pPr>
              <w:pStyle w:val="Infotext"/>
            </w:pPr>
          </w:p>
        </w:tc>
        <w:tc>
          <w:tcPr>
            <w:tcW w:w="138" w:type="pct"/>
            <w:tcBorders>
              <w:left w:val="nil"/>
              <w:right w:val="nil"/>
            </w:tcBorders>
          </w:tcPr>
          <w:p w14:paraId="10DB034B" w14:textId="77777777" w:rsidR="002A2389" w:rsidRDefault="002A2389">
            <w:pPr>
              <w:pStyle w:val="Infotext"/>
            </w:pPr>
          </w:p>
        </w:tc>
        <w:tc>
          <w:tcPr>
            <w:tcW w:w="138" w:type="pct"/>
            <w:tcBorders>
              <w:left w:val="nil"/>
              <w:bottom w:val="nil"/>
              <w:right w:val="nil"/>
            </w:tcBorders>
          </w:tcPr>
          <w:p w14:paraId="3D19FF41" w14:textId="77777777" w:rsidR="002A2389" w:rsidRDefault="002A2389">
            <w:pPr>
              <w:pStyle w:val="Infotext"/>
            </w:pPr>
          </w:p>
        </w:tc>
        <w:tc>
          <w:tcPr>
            <w:tcW w:w="1932" w:type="pct"/>
            <w:tcBorders>
              <w:left w:val="nil"/>
              <w:bottom w:val="nil"/>
            </w:tcBorders>
          </w:tcPr>
          <w:p w14:paraId="2962447F" w14:textId="77777777" w:rsidR="002A2389" w:rsidRDefault="002A2389">
            <w:pPr>
              <w:pStyle w:val="Infotext"/>
            </w:pPr>
          </w:p>
          <w:p w14:paraId="39EA747C" w14:textId="68E5F98B" w:rsidR="002A2389" w:rsidRDefault="002A2389">
            <w:pPr>
              <w:pStyle w:val="Infotext"/>
            </w:pPr>
          </w:p>
        </w:tc>
      </w:tr>
      <w:tr w:rsidR="002A2389" w14:paraId="2DD5E906" w14:textId="77777777" w:rsidTr="0011306A">
        <w:tc>
          <w:tcPr>
            <w:tcW w:w="2792" w:type="pct"/>
            <w:tcBorders>
              <w:top w:val="nil"/>
              <w:bottom w:val="nil"/>
            </w:tcBorders>
          </w:tcPr>
          <w:p w14:paraId="3A50FB0A" w14:textId="70ED7792" w:rsidR="002A2389" w:rsidRDefault="002A2389" w:rsidP="00E8515B">
            <w:pPr>
              <w:pStyle w:val="Infotext"/>
            </w:pPr>
            <w:r>
              <w:t>Name:</w:t>
            </w:r>
            <w:r w:rsidR="00E8515B">
              <w:t xml:space="preserve">  </w:t>
            </w:r>
            <w:r w:rsidR="00C72E26">
              <w:t>Dawn Calvert</w:t>
            </w:r>
          </w:p>
        </w:tc>
        <w:tc>
          <w:tcPr>
            <w:tcW w:w="138" w:type="pct"/>
            <w:tcBorders>
              <w:bottom w:val="single" w:sz="4" w:space="0" w:color="auto"/>
            </w:tcBorders>
          </w:tcPr>
          <w:p w14:paraId="4FBB6EFF" w14:textId="1AA58858" w:rsidR="002A2389" w:rsidRDefault="00C72E26">
            <w:pPr>
              <w:pStyle w:val="Infotext"/>
            </w:pPr>
            <w:r>
              <w:rPr>
                <w:rFonts w:cs="Arial"/>
              </w:rPr>
              <w:t>√</w:t>
            </w:r>
          </w:p>
        </w:tc>
        <w:tc>
          <w:tcPr>
            <w:tcW w:w="138" w:type="pct"/>
            <w:tcBorders>
              <w:top w:val="nil"/>
              <w:bottom w:val="nil"/>
              <w:right w:val="nil"/>
            </w:tcBorders>
          </w:tcPr>
          <w:p w14:paraId="649E0799" w14:textId="77777777" w:rsidR="002A2389" w:rsidRDefault="002A2389">
            <w:pPr>
              <w:pStyle w:val="Infotext"/>
            </w:pPr>
          </w:p>
        </w:tc>
        <w:tc>
          <w:tcPr>
            <w:tcW w:w="1932" w:type="pct"/>
            <w:tcBorders>
              <w:top w:val="nil"/>
              <w:left w:val="nil"/>
              <w:bottom w:val="nil"/>
            </w:tcBorders>
          </w:tcPr>
          <w:p w14:paraId="1D96660E" w14:textId="77777777" w:rsidR="002A2389" w:rsidRDefault="002A2389">
            <w:pPr>
              <w:pStyle w:val="Infotext"/>
            </w:pPr>
            <w:r>
              <w:t>Chief Financial Officer</w:t>
            </w:r>
          </w:p>
        </w:tc>
      </w:tr>
      <w:tr w:rsidR="002A2389" w14:paraId="3D303A8D" w14:textId="77777777" w:rsidTr="0011306A">
        <w:tc>
          <w:tcPr>
            <w:tcW w:w="2792" w:type="pct"/>
            <w:tcBorders>
              <w:top w:val="nil"/>
              <w:right w:val="nil"/>
            </w:tcBorders>
          </w:tcPr>
          <w:p w14:paraId="02595F07" w14:textId="77777777" w:rsidR="002A2389" w:rsidRDefault="002A2389">
            <w:pPr>
              <w:pStyle w:val="Infotext"/>
            </w:pPr>
            <w:r>
              <w:t xml:space="preserve"> </w:t>
            </w:r>
          </w:p>
          <w:p w14:paraId="399F4CD6" w14:textId="241D7F33" w:rsidR="002A2389" w:rsidRDefault="002A2389" w:rsidP="00E8515B">
            <w:pPr>
              <w:pStyle w:val="Infotext"/>
            </w:pPr>
            <w:r>
              <w:t xml:space="preserve">Date: </w:t>
            </w:r>
            <w:r w:rsidR="00E8515B">
              <w:t xml:space="preserve"> </w:t>
            </w:r>
            <w:r w:rsidR="00C72E26">
              <w:t>25/08/20</w:t>
            </w:r>
          </w:p>
        </w:tc>
        <w:tc>
          <w:tcPr>
            <w:tcW w:w="138" w:type="pct"/>
            <w:tcBorders>
              <w:left w:val="nil"/>
              <w:bottom w:val="single" w:sz="4" w:space="0" w:color="auto"/>
              <w:right w:val="nil"/>
            </w:tcBorders>
          </w:tcPr>
          <w:p w14:paraId="2F53778D" w14:textId="77777777" w:rsidR="002A2389" w:rsidRDefault="002A2389">
            <w:pPr>
              <w:pStyle w:val="Infotext"/>
            </w:pPr>
          </w:p>
        </w:tc>
        <w:tc>
          <w:tcPr>
            <w:tcW w:w="138" w:type="pct"/>
            <w:tcBorders>
              <w:top w:val="nil"/>
              <w:left w:val="nil"/>
              <w:right w:val="nil"/>
            </w:tcBorders>
          </w:tcPr>
          <w:p w14:paraId="301E237B" w14:textId="77777777" w:rsidR="002A2389" w:rsidRDefault="002A2389">
            <w:pPr>
              <w:pStyle w:val="Infotext"/>
            </w:pPr>
          </w:p>
        </w:tc>
        <w:tc>
          <w:tcPr>
            <w:tcW w:w="1932" w:type="pct"/>
            <w:tcBorders>
              <w:top w:val="nil"/>
              <w:left w:val="nil"/>
            </w:tcBorders>
          </w:tcPr>
          <w:p w14:paraId="0F43F58F" w14:textId="77777777" w:rsidR="002A2389" w:rsidRDefault="002A2389">
            <w:pPr>
              <w:pStyle w:val="Infotext"/>
            </w:pPr>
          </w:p>
        </w:tc>
      </w:tr>
      <w:tr w:rsidR="002A2389" w14:paraId="58A74C3B" w14:textId="77777777" w:rsidTr="0011306A">
        <w:tc>
          <w:tcPr>
            <w:tcW w:w="2792" w:type="pct"/>
            <w:tcBorders>
              <w:bottom w:val="nil"/>
              <w:right w:val="nil"/>
            </w:tcBorders>
          </w:tcPr>
          <w:p w14:paraId="7E4317A0" w14:textId="77777777" w:rsidR="002A2389" w:rsidRDefault="002A2389">
            <w:pPr>
              <w:pStyle w:val="Infotext"/>
            </w:pPr>
          </w:p>
          <w:p w14:paraId="6EEE3E3F" w14:textId="77777777" w:rsidR="002A2389" w:rsidRDefault="002A2389">
            <w:pPr>
              <w:pStyle w:val="Infotext"/>
            </w:pPr>
          </w:p>
        </w:tc>
        <w:tc>
          <w:tcPr>
            <w:tcW w:w="138" w:type="pct"/>
            <w:tcBorders>
              <w:left w:val="nil"/>
              <w:right w:val="nil"/>
            </w:tcBorders>
          </w:tcPr>
          <w:p w14:paraId="44D6F118" w14:textId="77777777" w:rsidR="002A2389" w:rsidRDefault="002A2389">
            <w:pPr>
              <w:pStyle w:val="Infotext"/>
            </w:pPr>
          </w:p>
        </w:tc>
        <w:tc>
          <w:tcPr>
            <w:tcW w:w="138" w:type="pct"/>
            <w:tcBorders>
              <w:left w:val="nil"/>
              <w:bottom w:val="nil"/>
              <w:right w:val="nil"/>
            </w:tcBorders>
          </w:tcPr>
          <w:p w14:paraId="04EC0974" w14:textId="77777777" w:rsidR="002A2389" w:rsidRDefault="002A2389">
            <w:pPr>
              <w:pStyle w:val="Infotext"/>
            </w:pPr>
          </w:p>
        </w:tc>
        <w:tc>
          <w:tcPr>
            <w:tcW w:w="1932" w:type="pct"/>
            <w:tcBorders>
              <w:left w:val="nil"/>
              <w:bottom w:val="nil"/>
            </w:tcBorders>
          </w:tcPr>
          <w:p w14:paraId="6E33518C" w14:textId="77777777" w:rsidR="002A2389" w:rsidRDefault="002A2389">
            <w:pPr>
              <w:pStyle w:val="Infotext"/>
            </w:pPr>
          </w:p>
          <w:p w14:paraId="41CC60B8" w14:textId="5B6C5004" w:rsidR="002A2389" w:rsidRDefault="002A2389">
            <w:pPr>
              <w:pStyle w:val="Infotext"/>
            </w:pPr>
          </w:p>
        </w:tc>
      </w:tr>
      <w:tr w:rsidR="002A2389" w14:paraId="281AF115" w14:textId="77777777" w:rsidTr="0011306A">
        <w:tc>
          <w:tcPr>
            <w:tcW w:w="2792" w:type="pct"/>
            <w:tcBorders>
              <w:top w:val="nil"/>
              <w:bottom w:val="nil"/>
            </w:tcBorders>
          </w:tcPr>
          <w:p w14:paraId="25246806" w14:textId="0708A468" w:rsidR="002A2389" w:rsidRDefault="002A2389" w:rsidP="00E8515B">
            <w:pPr>
              <w:pStyle w:val="Infotext"/>
            </w:pPr>
            <w:r>
              <w:t xml:space="preserve">Name: </w:t>
            </w:r>
            <w:r w:rsidR="00E8515B">
              <w:t xml:space="preserve"> </w:t>
            </w:r>
            <w:r w:rsidR="00C72E26">
              <w:t>Hugh Peart</w:t>
            </w:r>
          </w:p>
        </w:tc>
        <w:tc>
          <w:tcPr>
            <w:tcW w:w="138" w:type="pct"/>
            <w:tcBorders>
              <w:bottom w:val="single" w:sz="4" w:space="0" w:color="auto"/>
            </w:tcBorders>
          </w:tcPr>
          <w:p w14:paraId="00B779F0" w14:textId="630CEA48" w:rsidR="002A2389" w:rsidRDefault="00C72E26">
            <w:pPr>
              <w:pStyle w:val="Infotext"/>
            </w:pPr>
            <w:r>
              <w:rPr>
                <w:rFonts w:cs="Arial"/>
              </w:rPr>
              <w:t>√</w:t>
            </w:r>
          </w:p>
        </w:tc>
        <w:tc>
          <w:tcPr>
            <w:tcW w:w="138" w:type="pct"/>
            <w:tcBorders>
              <w:top w:val="nil"/>
              <w:bottom w:val="nil"/>
              <w:right w:val="nil"/>
            </w:tcBorders>
          </w:tcPr>
          <w:p w14:paraId="19CD91CE" w14:textId="77777777" w:rsidR="002A2389" w:rsidRDefault="002A2389">
            <w:pPr>
              <w:pStyle w:val="Infotext"/>
            </w:pPr>
          </w:p>
        </w:tc>
        <w:tc>
          <w:tcPr>
            <w:tcW w:w="1932" w:type="pct"/>
            <w:tcBorders>
              <w:top w:val="nil"/>
              <w:left w:val="nil"/>
              <w:bottom w:val="nil"/>
            </w:tcBorders>
          </w:tcPr>
          <w:p w14:paraId="7E5F465A" w14:textId="77777777" w:rsidR="002A2389" w:rsidRDefault="002A2389">
            <w:pPr>
              <w:pStyle w:val="Infotext"/>
            </w:pPr>
            <w:r>
              <w:t>Monitoring Officer</w:t>
            </w:r>
          </w:p>
        </w:tc>
      </w:tr>
      <w:tr w:rsidR="002A2389" w14:paraId="6D0656B5" w14:textId="77777777" w:rsidTr="0011306A">
        <w:tc>
          <w:tcPr>
            <w:tcW w:w="2792" w:type="pct"/>
            <w:tcBorders>
              <w:top w:val="nil"/>
              <w:right w:val="nil"/>
            </w:tcBorders>
          </w:tcPr>
          <w:p w14:paraId="2C9F7099" w14:textId="77777777" w:rsidR="002A2389" w:rsidRDefault="002A2389">
            <w:pPr>
              <w:pStyle w:val="Infotext"/>
            </w:pPr>
          </w:p>
          <w:p w14:paraId="7BAF595F" w14:textId="241209C1" w:rsidR="002A2389" w:rsidRDefault="002A2389" w:rsidP="00E8515B">
            <w:pPr>
              <w:pStyle w:val="Infotext"/>
            </w:pPr>
            <w:r>
              <w:t xml:space="preserve">Date: </w:t>
            </w:r>
            <w:r w:rsidR="00E8515B">
              <w:t xml:space="preserve"> </w:t>
            </w:r>
            <w:r w:rsidR="00C72E26">
              <w:t>24/08/20</w:t>
            </w:r>
          </w:p>
        </w:tc>
        <w:tc>
          <w:tcPr>
            <w:tcW w:w="138" w:type="pct"/>
            <w:tcBorders>
              <w:left w:val="nil"/>
              <w:right w:val="nil"/>
            </w:tcBorders>
          </w:tcPr>
          <w:p w14:paraId="11048FC5" w14:textId="77777777" w:rsidR="002A2389" w:rsidRDefault="002A2389">
            <w:pPr>
              <w:pStyle w:val="Infotext"/>
            </w:pPr>
          </w:p>
        </w:tc>
        <w:tc>
          <w:tcPr>
            <w:tcW w:w="138" w:type="pct"/>
            <w:tcBorders>
              <w:top w:val="nil"/>
              <w:left w:val="nil"/>
              <w:right w:val="nil"/>
            </w:tcBorders>
          </w:tcPr>
          <w:p w14:paraId="770C2E96" w14:textId="77777777" w:rsidR="002A2389" w:rsidRDefault="002A2389">
            <w:pPr>
              <w:pStyle w:val="Infotext"/>
            </w:pPr>
          </w:p>
        </w:tc>
        <w:tc>
          <w:tcPr>
            <w:tcW w:w="1932" w:type="pct"/>
            <w:tcBorders>
              <w:top w:val="nil"/>
              <w:left w:val="nil"/>
            </w:tcBorders>
          </w:tcPr>
          <w:p w14:paraId="29642F46" w14:textId="77777777" w:rsidR="002A2389" w:rsidRDefault="002A2389">
            <w:pPr>
              <w:pStyle w:val="Infotext"/>
            </w:pPr>
          </w:p>
          <w:p w14:paraId="037650CC" w14:textId="77777777" w:rsidR="002A2389" w:rsidRDefault="002A2389">
            <w:pPr>
              <w:pStyle w:val="Infotext"/>
            </w:pPr>
          </w:p>
        </w:tc>
      </w:tr>
    </w:tbl>
    <w:p w14:paraId="5C07B215" w14:textId="77777777" w:rsidR="002A2389" w:rsidRDefault="002A2389"/>
    <w:p w14:paraId="2E47AA72" w14:textId="77777777" w:rsidR="00213BE7" w:rsidRDefault="00213B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3"/>
        <w:gridCol w:w="385"/>
        <w:gridCol w:w="234"/>
        <w:gridCol w:w="3593"/>
      </w:tblGrid>
      <w:tr w:rsidR="00213BE7" w14:paraId="0A353475" w14:textId="77777777" w:rsidTr="000A6659">
        <w:tc>
          <w:tcPr>
            <w:tcW w:w="4752" w:type="dxa"/>
            <w:tcBorders>
              <w:bottom w:val="nil"/>
              <w:right w:val="nil"/>
            </w:tcBorders>
          </w:tcPr>
          <w:p w14:paraId="0E629096" w14:textId="77777777" w:rsidR="00213BE7" w:rsidRDefault="00213BE7" w:rsidP="000A6659">
            <w:pPr>
              <w:pStyle w:val="Infotext"/>
            </w:pPr>
          </w:p>
          <w:p w14:paraId="765194AB" w14:textId="77777777" w:rsidR="00213BE7" w:rsidRDefault="00213BE7" w:rsidP="000A6659">
            <w:pPr>
              <w:pStyle w:val="Infotext"/>
            </w:pPr>
          </w:p>
        </w:tc>
        <w:tc>
          <w:tcPr>
            <w:tcW w:w="387" w:type="dxa"/>
            <w:tcBorders>
              <w:left w:val="nil"/>
              <w:right w:val="nil"/>
            </w:tcBorders>
          </w:tcPr>
          <w:p w14:paraId="32C15D95" w14:textId="77777777" w:rsidR="00213BE7" w:rsidRDefault="00213BE7" w:rsidP="000A6659">
            <w:pPr>
              <w:pStyle w:val="Infotext"/>
            </w:pPr>
          </w:p>
        </w:tc>
        <w:tc>
          <w:tcPr>
            <w:tcW w:w="236" w:type="dxa"/>
            <w:tcBorders>
              <w:left w:val="nil"/>
              <w:bottom w:val="nil"/>
              <w:right w:val="nil"/>
            </w:tcBorders>
          </w:tcPr>
          <w:p w14:paraId="3F2FE18A" w14:textId="77777777" w:rsidR="00213BE7" w:rsidRDefault="00213BE7" w:rsidP="000A6659">
            <w:pPr>
              <w:pStyle w:val="Infotext"/>
            </w:pPr>
          </w:p>
        </w:tc>
        <w:tc>
          <w:tcPr>
            <w:tcW w:w="3890" w:type="dxa"/>
            <w:tcBorders>
              <w:left w:val="nil"/>
              <w:bottom w:val="nil"/>
            </w:tcBorders>
          </w:tcPr>
          <w:p w14:paraId="2AEC3EC1" w14:textId="77777777" w:rsidR="00213BE7" w:rsidRDefault="00213BE7" w:rsidP="000A6659">
            <w:pPr>
              <w:pStyle w:val="Infotext"/>
            </w:pPr>
          </w:p>
          <w:p w14:paraId="443040DD" w14:textId="77777777" w:rsidR="00213BE7" w:rsidRDefault="00213BE7" w:rsidP="000A6659">
            <w:pPr>
              <w:pStyle w:val="Infotext"/>
            </w:pPr>
          </w:p>
        </w:tc>
      </w:tr>
      <w:tr w:rsidR="00213BE7" w14:paraId="50059C37" w14:textId="77777777" w:rsidTr="000A6659">
        <w:tc>
          <w:tcPr>
            <w:tcW w:w="4752" w:type="dxa"/>
            <w:tcBorders>
              <w:top w:val="nil"/>
              <w:bottom w:val="nil"/>
            </w:tcBorders>
          </w:tcPr>
          <w:p w14:paraId="362A1BA2" w14:textId="7B8B5C30" w:rsidR="00213BE7" w:rsidRDefault="00213BE7" w:rsidP="00E8515B">
            <w:pPr>
              <w:pStyle w:val="Infotext"/>
            </w:pPr>
            <w:r>
              <w:t xml:space="preserve">Name: </w:t>
            </w:r>
            <w:r w:rsidR="00E8515B">
              <w:t xml:space="preserve"> </w:t>
            </w:r>
            <w:r w:rsidR="00C72E26">
              <w:t>Charlie Stewart</w:t>
            </w:r>
          </w:p>
        </w:tc>
        <w:tc>
          <w:tcPr>
            <w:tcW w:w="387" w:type="dxa"/>
            <w:tcBorders>
              <w:bottom w:val="single" w:sz="4" w:space="0" w:color="auto"/>
            </w:tcBorders>
          </w:tcPr>
          <w:p w14:paraId="0872F95C" w14:textId="36383D9C" w:rsidR="00213BE7" w:rsidRDefault="00C72E26" w:rsidP="000A6659">
            <w:pPr>
              <w:pStyle w:val="Infotext"/>
            </w:pPr>
            <w:r>
              <w:rPr>
                <w:rFonts w:cs="Arial"/>
              </w:rPr>
              <w:t>√</w:t>
            </w:r>
          </w:p>
        </w:tc>
        <w:tc>
          <w:tcPr>
            <w:tcW w:w="236" w:type="dxa"/>
            <w:tcBorders>
              <w:top w:val="nil"/>
              <w:bottom w:val="nil"/>
              <w:right w:val="nil"/>
            </w:tcBorders>
          </w:tcPr>
          <w:p w14:paraId="3DD4FA4A" w14:textId="77777777" w:rsidR="00213BE7" w:rsidRDefault="00213BE7" w:rsidP="000A6659">
            <w:pPr>
              <w:pStyle w:val="Infotext"/>
            </w:pPr>
          </w:p>
        </w:tc>
        <w:tc>
          <w:tcPr>
            <w:tcW w:w="3890" w:type="dxa"/>
            <w:tcBorders>
              <w:top w:val="nil"/>
              <w:left w:val="nil"/>
              <w:bottom w:val="nil"/>
            </w:tcBorders>
          </w:tcPr>
          <w:p w14:paraId="2E92C7BE" w14:textId="6F282C03" w:rsidR="00213BE7" w:rsidRDefault="00213BE7" w:rsidP="000A6659">
            <w:pPr>
              <w:pStyle w:val="Infotext"/>
            </w:pPr>
            <w:r>
              <w:t>Corporate Director</w:t>
            </w:r>
            <w:r w:rsidR="00C72E26">
              <w:t xml:space="preserve"> - Resources</w:t>
            </w:r>
          </w:p>
        </w:tc>
      </w:tr>
      <w:tr w:rsidR="00213BE7" w14:paraId="4565C5A0" w14:textId="77777777" w:rsidTr="000A6659">
        <w:tc>
          <w:tcPr>
            <w:tcW w:w="4752" w:type="dxa"/>
            <w:tcBorders>
              <w:top w:val="nil"/>
              <w:right w:val="nil"/>
            </w:tcBorders>
          </w:tcPr>
          <w:p w14:paraId="0246BBCE" w14:textId="77777777" w:rsidR="00213BE7" w:rsidRDefault="00213BE7" w:rsidP="000A6659">
            <w:pPr>
              <w:pStyle w:val="Infotext"/>
            </w:pPr>
            <w:r>
              <w:t xml:space="preserve"> </w:t>
            </w:r>
          </w:p>
          <w:p w14:paraId="6E9F8ECC" w14:textId="0A0CA2F6" w:rsidR="00213BE7" w:rsidRDefault="00213BE7" w:rsidP="00E8515B">
            <w:pPr>
              <w:pStyle w:val="Infotext"/>
            </w:pPr>
            <w:r>
              <w:t xml:space="preserve">Date: </w:t>
            </w:r>
            <w:r w:rsidR="00E8515B">
              <w:t xml:space="preserve"> </w:t>
            </w:r>
            <w:r w:rsidR="00C72E26">
              <w:t>24/08/20</w:t>
            </w:r>
          </w:p>
        </w:tc>
        <w:tc>
          <w:tcPr>
            <w:tcW w:w="387" w:type="dxa"/>
            <w:tcBorders>
              <w:left w:val="nil"/>
              <w:bottom w:val="single" w:sz="4" w:space="0" w:color="auto"/>
              <w:right w:val="nil"/>
            </w:tcBorders>
          </w:tcPr>
          <w:p w14:paraId="7A361474" w14:textId="77777777" w:rsidR="00213BE7" w:rsidRDefault="00213BE7" w:rsidP="000A6659">
            <w:pPr>
              <w:pStyle w:val="Infotext"/>
            </w:pPr>
          </w:p>
        </w:tc>
        <w:tc>
          <w:tcPr>
            <w:tcW w:w="236" w:type="dxa"/>
            <w:tcBorders>
              <w:top w:val="nil"/>
              <w:left w:val="nil"/>
              <w:right w:val="nil"/>
            </w:tcBorders>
          </w:tcPr>
          <w:p w14:paraId="07BBB016" w14:textId="77777777" w:rsidR="00213BE7" w:rsidRDefault="00213BE7" w:rsidP="000A6659">
            <w:pPr>
              <w:pStyle w:val="Infotext"/>
            </w:pPr>
          </w:p>
        </w:tc>
        <w:tc>
          <w:tcPr>
            <w:tcW w:w="3890" w:type="dxa"/>
            <w:tcBorders>
              <w:top w:val="nil"/>
              <w:left w:val="nil"/>
            </w:tcBorders>
          </w:tcPr>
          <w:p w14:paraId="465EFEE7" w14:textId="77777777" w:rsidR="00213BE7" w:rsidRDefault="00213BE7" w:rsidP="000A6659">
            <w:pPr>
              <w:pStyle w:val="Infotext"/>
            </w:pPr>
          </w:p>
        </w:tc>
      </w:tr>
    </w:tbl>
    <w:p w14:paraId="6C5B5F91" w14:textId="77777777" w:rsidR="00213BE7" w:rsidRDefault="00213BE7"/>
    <w:p w14:paraId="086E32B8" w14:textId="77777777" w:rsidR="002A2389" w:rsidRDefault="002A2389"/>
    <w:p w14:paraId="069C65D5" w14:textId="77777777" w:rsidR="000B0E6F" w:rsidRDefault="000B0E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0B0E6F" w14:paraId="3CE9CC2B" w14:textId="77777777">
        <w:trPr>
          <w:trHeight w:val="965"/>
        </w:trPr>
        <w:tc>
          <w:tcPr>
            <w:tcW w:w="3025" w:type="pct"/>
            <w:tcBorders>
              <w:right w:val="nil"/>
            </w:tcBorders>
          </w:tcPr>
          <w:p w14:paraId="4B90DB60" w14:textId="77777777" w:rsidR="00271B4B" w:rsidRDefault="00271B4B" w:rsidP="008D7800">
            <w:pPr>
              <w:pStyle w:val="Infotext"/>
              <w:rPr>
                <w:rFonts w:ascii="Arial Black" w:hAnsi="Arial Black"/>
              </w:rPr>
            </w:pPr>
          </w:p>
          <w:p w14:paraId="1E415E91" w14:textId="77777777" w:rsidR="000B0E6F" w:rsidRDefault="000B0E6F" w:rsidP="008D7800">
            <w:pPr>
              <w:pStyle w:val="Infotext"/>
              <w:rPr>
                <w:rFonts w:ascii="Arial Black" w:hAnsi="Arial Black"/>
              </w:rPr>
            </w:pPr>
            <w:r>
              <w:rPr>
                <w:rFonts w:ascii="Arial Black" w:hAnsi="Arial Black"/>
              </w:rPr>
              <w:t>Ward Councillors notified:</w:t>
            </w:r>
          </w:p>
          <w:p w14:paraId="4CD5A0D0" w14:textId="77777777" w:rsidR="000B0E6F" w:rsidRDefault="000B0E6F" w:rsidP="008D7800">
            <w:pPr>
              <w:pStyle w:val="Infotext"/>
            </w:pPr>
          </w:p>
        </w:tc>
        <w:tc>
          <w:tcPr>
            <w:tcW w:w="1975" w:type="pct"/>
            <w:tcBorders>
              <w:left w:val="nil"/>
            </w:tcBorders>
          </w:tcPr>
          <w:p w14:paraId="3A8737FC" w14:textId="77777777" w:rsidR="000B0E6F" w:rsidRDefault="000B0E6F" w:rsidP="008D7800">
            <w:pPr>
              <w:pStyle w:val="Infotext"/>
            </w:pPr>
          </w:p>
          <w:p w14:paraId="707B9204" w14:textId="77777777" w:rsidR="000B0E6F" w:rsidRPr="00A406F3" w:rsidRDefault="000B0E6F" w:rsidP="008D7800">
            <w:pPr>
              <w:pStyle w:val="Infotext"/>
              <w:spacing w:before="120"/>
              <w:rPr>
                <w:b/>
              </w:rPr>
            </w:pPr>
            <w:r w:rsidRPr="00A406F3">
              <w:rPr>
                <w:b/>
              </w:rPr>
              <w:t xml:space="preserve">NO </w:t>
            </w:r>
          </w:p>
          <w:p w14:paraId="69DC20F8" w14:textId="77777777" w:rsidR="000B0E6F" w:rsidRPr="003D78F6" w:rsidRDefault="000B0E6F" w:rsidP="00271B4B">
            <w:pPr>
              <w:pStyle w:val="Infotext"/>
              <w:rPr>
                <w:i/>
                <w:sz w:val="24"/>
                <w:szCs w:val="24"/>
              </w:rPr>
            </w:pPr>
          </w:p>
        </w:tc>
      </w:tr>
    </w:tbl>
    <w:p w14:paraId="704A740C" w14:textId="77777777" w:rsidR="000B0E6F" w:rsidRDefault="000B0E6F"/>
    <w:p w14:paraId="7352D5CF" w14:textId="77777777" w:rsidR="000B0E6F" w:rsidRDefault="000B0E6F"/>
    <w:p w14:paraId="4BE1644E" w14:textId="77777777" w:rsidR="000B0E6F" w:rsidRDefault="000B0E6F"/>
    <w:p w14:paraId="20D1D2CA" w14:textId="77777777" w:rsidR="002A2389" w:rsidRDefault="002A2389" w:rsidP="008D1750">
      <w:pPr>
        <w:pStyle w:val="Heading1"/>
        <w:keepNext/>
      </w:pPr>
      <w:r>
        <w:t>Section 4 - Contact Details and Background Papers</w:t>
      </w:r>
    </w:p>
    <w:p w14:paraId="2C9049AE" w14:textId="77777777" w:rsidR="002A2389" w:rsidRDefault="002A2389" w:rsidP="008D1750">
      <w:pPr>
        <w:keepNext/>
        <w:rPr>
          <w:rFonts w:cs="Arial"/>
        </w:rPr>
      </w:pPr>
    </w:p>
    <w:p w14:paraId="366757D3" w14:textId="77777777" w:rsidR="002A2389" w:rsidRDefault="002A2389"/>
    <w:p w14:paraId="35A11BA9" w14:textId="77777777" w:rsidR="002A2389" w:rsidRDefault="002A2389">
      <w:pPr>
        <w:pStyle w:val="Infotext"/>
      </w:pPr>
      <w:r w:rsidRPr="00D914D2">
        <w:rPr>
          <w:b/>
        </w:rPr>
        <w:t>Contact:</w:t>
      </w:r>
      <w:r>
        <w:t xml:space="preserve">  </w:t>
      </w:r>
      <w:r w:rsidR="0011306A">
        <w:t>Susan Dixson, Head of Internal Audit &amp; Corporate Anti-Fraud 02084241420</w:t>
      </w:r>
    </w:p>
    <w:p w14:paraId="00AEEC5A" w14:textId="77777777" w:rsidR="002A2389" w:rsidRDefault="002A2389"/>
    <w:p w14:paraId="51ADF6E3" w14:textId="77777777" w:rsidR="002A2389" w:rsidRDefault="002A2389"/>
    <w:p w14:paraId="19E5332B" w14:textId="77777777" w:rsidR="002A2389" w:rsidRDefault="002A2389">
      <w:pPr>
        <w:pStyle w:val="Infotext"/>
      </w:pPr>
      <w:r w:rsidRPr="00D914D2">
        <w:rPr>
          <w:b/>
        </w:rPr>
        <w:t>Background Papers</w:t>
      </w:r>
      <w:r>
        <w:t xml:space="preserve">:  </w:t>
      </w:r>
      <w:r w:rsidR="0011306A">
        <w:t>None</w:t>
      </w:r>
    </w:p>
    <w:p w14:paraId="08E8A941" w14:textId="77777777" w:rsidR="002A2389" w:rsidRDefault="002A2389"/>
    <w:p w14:paraId="60B1D1AB" w14:textId="77777777" w:rsidR="00FF71E5" w:rsidRDefault="00FF71E5"/>
    <w:p w14:paraId="20C569A9" w14:textId="77777777" w:rsidR="002A2389" w:rsidRDefault="002A2389"/>
    <w:p w14:paraId="50733862" w14:textId="6933AE69" w:rsidR="002A2389" w:rsidRDefault="002A2389">
      <w:pPr>
        <w:pStyle w:val="Infotext"/>
      </w:pPr>
      <w:r>
        <w:t xml:space="preserve">If appropriate, does the report include the following considerations? </w:t>
      </w:r>
      <w:r w:rsidR="00C72E26">
        <w:t>N/A</w:t>
      </w:r>
    </w:p>
    <w:p w14:paraId="6F46E615" w14:textId="77777777" w:rsidR="002A2389" w:rsidRDefault="002A2389"/>
    <w:p w14:paraId="0DF5B5B5" w14:textId="77777777" w:rsidR="002A2389" w:rsidRDefault="002A23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5743"/>
        <w:gridCol w:w="2126"/>
      </w:tblGrid>
      <w:tr w:rsidR="002A2389" w14:paraId="641BDAD1" w14:textId="77777777">
        <w:tc>
          <w:tcPr>
            <w:tcW w:w="656" w:type="dxa"/>
          </w:tcPr>
          <w:p w14:paraId="2648A0D2" w14:textId="77777777" w:rsidR="002A2389" w:rsidRDefault="002A2389">
            <w:pPr>
              <w:pStyle w:val="Infotext"/>
            </w:pPr>
            <w:r>
              <w:t>1.</w:t>
            </w:r>
          </w:p>
        </w:tc>
        <w:tc>
          <w:tcPr>
            <w:tcW w:w="5743" w:type="dxa"/>
          </w:tcPr>
          <w:p w14:paraId="4B4E5761" w14:textId="77777777" w:rsidR="002A2389" w:rsidRDefault="002A2389">
            <w:pPr>
              <w:pStyle w:val="Infotext"/>
            </w:pPr>
            <w:r>
              <w:t xml:space="preserve">Consultation </w:t>
            </w:r>
          </w:p>
        </w:tc>
        <w:tc>
          <w:tcPr>
            <w:tcW w:w="2126" w:type="dxa"/>
          </w:tcPr>
          <w:p w14:paraId="177AFBD5" w14:textId="77777777" w:rsidR="002A2389" w:rsidRDefault="002A2389">
            <w:pPr>
              <w:pStyle w:val="Infotext"/>
            </w:pPr>
            <w:r>
              <w:t>YES / NO</w:t>
            </w:r>
          </w:p>
        </w:tc>
      </w:tr>
      <w:tr w:rsidR="002A2389" w14:paraId="366C0654" w14:textId="77777777">
        <w:tc>
          <w:tcPr>
            <w:tcW w:w="656" w:type="dxa"/>
          </w:tcPr>
          <w:p w14:paraId="1BA665DC" w14:textId="77777777" w:rsidR="002A2389" w:rsidRDefault="002A2389">
            <w:pPr>
              <w:pStyle w:val="Infotext"/>
            </w:pPr>
            <w:r>
              <w:t>2.</w:t>
            </w:r>
          </w:p>
        </w:tc>
        <w:tc>
          <w:tcPr>
            <w:tcW w:w="5743" w:type="dxa"/>
          </w:tcPr>
          <w:p w14:paraId="599E6BE8" w14:textId="77777777" w:rsidR="002A2389" w:rsidRDefault="00FF71E5">
            <w:pPr>
              <w:pStyle w:val="Infotext"/>
            </w:pPr>
            <w:r>
              <w:t>Priorities</w:t>
            </w:r>
          </w:p>
        </w:tc>
        <w:tc>
          <w:tcPr>
            <w:tcW w:w="2126" w:type="dxa"/>
          </w:tcPr>
          <w:p w14:paraId="2D9E8BF5" w14:textId="77777777" w:rsidR="002A2389" w:rsidRDefault="002A2389">
            <w:pPr>
              <w:pStyle w:val="Infotext"/>
            </w:pPr>
            <w:r>
              <w:t xml:space="preserve">YES / NO </w:t>
            </w:r>
          </w:p>
        </w:tc>
      </w:tr>
    </w:tbl>
    <w:p w14:paraId="693B9390"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0FAF1" w14:textId="77777777" w:rsidR="00E609EF" w:rsidRDefault="00E609EF">
      <w:r>
        <w:separator/>
      </w:r>
    </w:p>
  </w:endnote>
  <w:endnote w:type="continuationSeparator" w:id="0">
    <w:p w14:paraId="1FC6AAA7"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S Lola">
    <w:altName w:val="Cambria"/>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24E2D" w14:textId="77777777" w:rsidR="00E609EF" w:rsidRDefault="00E609EF">
      <w:r>
        <w:separator/>
      </w:r>
    </w:p>
  </w:footnote>
  <w:footnote w:type="continuationSeparator" w:id="0">
    <w:p w14:paraId="152CC0BA" w14:textId="77777777"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2D1B27"/>
    <w:multiLevelType w:val="hybridMultilevel"/>
    <w:tmpl w:val="B750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3"/>
  </w:num>
  <w:num w:numId="10">
    <w:abstractNumId w:val="11"/>
  </w:num>
  <w:num w:numId="11">
    <w:abstractNumId w:val="14"/>
  </w:num>
  <w:num w:numId="12">
    <w:abstractNumId w:val="10"/>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71EB4"/>
    <w:rsid w:val="00077298"/>
    <w:rsid w:val="000A58A1"/>
    <w:rsid w:val="000A6659"/>
    <w:rsid w:val="000B0E6F"/>
    <w:rsid w:val="000B6DBB"/>
    <w:rsid w:val="000D2BF2"/>
    <w:rsid w:val="000E10AD"/>
    <w:rsid w:val="000F65C0"/>
    <w:rsid w:val="0011306A"/>
    <w:rsid w:val="0012522B"/>
    <w:rsid w:val="001939BA"/>
    <w:rsid w:val="001A6EB0"/>
    <w:rsid w:val="001B441D"/>
    <w:rsid w:val="001C5225"/>
    <w:rsid w:val="001E0219"/>
    <w:rsid w:val="00213BE7"/>
    <w:rsid w:val="00231A1D"/>
    <w:rsid w:val="00244120"/>
    <w:rsid w:val="00271B4B"/>
    <w:rsid w:val="00293F9F"/>
    <w:rsid w:val="002A2389"/>
    <w:rsid w:val="002C08E2"/>
    <w:rsid w:val="002C1794"/>
    <w:rsid w:val="002E6637"/>
    <w:rsid w:val="002E77E3"/>
    <w:rsid w:val="00332947"/>
    <w:rsid w:val="00333EB4"/>
    <w:rsid w:val="00345915"/>
    <w:rsid w:val="00374F22"/>
    <w:rsid w:val="00400032"/>
    <w:rsid w:val="0042394B"/>
    <w:rsid w:val="00473275"/>
    <w:rsid w:val="00473B08"/>
    <w:rsid w:val="00474B5F"/>
    <w:rsid w:val="004A3CE6"/>
    <w:rsid w:val="004B2C9D"/>
    <w:rsid w:val="004B4A47"/>
    <w:rsid w:val="004E667D"/>
    <w:rsid w:val="004E6AF9"/>
    <w:rsid w:val="005031DF"/>
    <w:rsid w:val="00597314"/>
    <w:rsid w:val="005A61AF"/>
    <w:rsid w:val="005D0886"/>
    <w:rsid w:val="005E384D"/>
    <w:rsid w:val="005F2181"/>
    <w:rsid w:val="005F724B"/>
    <w:rsid w:val="0063072B"/>
    <w:rsid w:val="00662891"/>
    <w:rsid w:val="006628B7"/>
    <w:rsid w:val="00675FCB"/>
    <w:rsid w:val="006C3914"/>
    <w:rsid w:val="006D3648"/>
    <w:rsid w:val="0074184E"/>
    <w:rsid w:val="00743829"/>
    <w:rsid w:val="00755F8D"/>
    <w:rsid w:val="00796503"/>
    <w:rsid w:val="007A2FBF"/>
    <w:rsid w:val="007D2BDA"/>
    <w:rsid w:val="007D56C8"/>
    <w:rsid w:val="007E3934"/>
    <w:rsid w:val="007E7303"/>
    <w:rsid w:val="008212A0"/>
    <w:rsid w:val="00837F53"/>
    <w:rsid w:val="008D1750"/>
    <w:rsid w:val="008D7800"/>
    <w:rsid w:val="008E2910"/>
    <w:rsid w:val="008E4913"/>
    <w:rsid w:val="00900464"/>
    <w:rsid w:val="0090100E"/>
    <w:rsid w:val="00917334"/>
    <w:rsid w:val="0093767E"/>
    <w:rsid w:val="00972A02"/>
    <w:rsid w:val="0099517C"/>
    <w:rsid w:val="009A0937"/>
    <w:rsid w:val="009B2ECD"/>
    <w:rsid w:val="009B7914"/>
    <w:rsid w:val="009F430B"/>
    <w:rsid w:val="00A566E7"/>
    <w:rsid w:val="00A940D3"/>
    <w:rsid w:val="00A96FCA"/>
    <w:rsid w:val="00AA4BE8"/>
    <w:rsid w:val="00AC0AAB"/>
    <w:rsid w:val="00AC7BA9"/>
    <w:rsid w:val="00B0425E"/>
    <w:rsid w:val="00B900E2"/>
    <w:rsid w:val="00B9118E"/>
    <w:rsid w:val="00BD684A"/>
    <w:rsid w:val="00C32DAE"/>
    <w:rsid w:val="00C40E24"/>
    <w:rsid w:val="00C72E26"/>
    <w:rsid w:val="00C74B01"/>
    <w:rsid w:val="00C92D9A"/>
    <w:rsid w:val="00C96EF5"/>
    <w:rsid w:val="00D32B51"/>
    <w:rsid w:val="00D34668"/>
    <w:rsid w:val="00D3740E"/>
    <w:rsid w:val="00D40335"/>
    <w:rsid w:val="00D82F57"/>
    <w:rsid w:val="00D841A5"/>
    <w:rsid w:val="00D914D2"/>
    <w:rsid w:val="00DA25DB"/>
    <w:rsid w:val="00DD4251"/>
    <w:rsid w:val="00E02B50"/>
    <w:rsid w:val="00E03F11"/>
    <w:rsid w:val="00E06DC8"/>
    <w:rsid w:val="00E220B5"/>
    <w:rsid w:val="00E33D93"/>
    <w:rsid w:val="00E609EF"/>
    <w:rsid w:val="00E8515B"/>
    <w:rsid w:val="00EF2F91"/>
    <w:rsid w:val="00F33EE3"/>
    <w:rsid w:val="00F4213B"/>
    <w:rsid w:val="00F732B8"/>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D90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customStyle="1" w:styleId="CharCharCharCharCharCharCharChar0">
    <w:name w:val="Char Char Char Char Char Char Char Char"/>
    <w:basedOn w:val="Normal"/>
    <w:rsid w:val="0012522B"/>
    <w:pPr>
      <w:spacing w:after="160" w:line="240" w:lineRule="exact"/>
    </w:pPr>
    <w:rPr>
      <w:rFonts w:ascii="Tahoma" w:hAnsi="Tahoma"/>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customStyle="1" w:styleId="CharCharCharCharCharCharCharChar0">
    <w:name w:val="Char Char Char Char Char Char Char Char"/>
    <w:basedOn w:val="Normal"/>
    <w:rsid w:val="0012522B"/>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1206</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7997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dghelani</cp:lastModifiedBy>
  <cp:revision>8</cp:revision>
  <cp:lastPrinted>2007-07-12T09:53:00Z</cp:lastPrinted>
  <dcterms:created xsi:type="dcterms:W3CDTF">2020-08-23T19:51:00Z</dcterms:created>
  <dcterms:modified xsi:type="dcterms:W3CDTF">2020-08-27T16:01:00Z</dcterms:modified>
</cp:coreProperties>
</file>